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黑体" w:hAnsi="黑体" w:eastAsia="黑体"/>
          <w:sz w:val="44"/>
          <w:szCs w:val="44"/>
        </w:rPr>
      </w:pPr>
      <w:bookmarkStart w:id="0" w:name="OLE_LINK141"/>
      <w:bookmarkStart w:id="1" w:name="OLE_LINK142"/>
    </w:p>
    <w:p>
      <w:pPr>
        <w:spacing w:after="312" w:afterLines="100" w:line="360" w:lineRule="auto"/>
        <w:jc w:val="center"/>
        <w:rPr>
          <w:rFonts w:ascii="黑体" w:hAnsi="黑体" w:eastAsia="黑体"/>
          <w:sz w:val="44"/>
          <w:szCs w:val="44"/>
        </w:rPr>
      </w:pPr>
      <w:r>
        <w:rPr>
          <w:rFonts w:ascii="黑体" w:hAnsi="黑体" w:eastAsia="黑体"/>
          <w:sz w:val="44"/>
          <w:szCs w:val="44"/>
        </w:rPr>
        <w:t>国家计量技术</w:t>
      </w:r>
      <w:r>
        <w:rPr>
          <w:rFonts w:hint="eastAsia" w:ascii="黑体" w:hAnsi="黑体" w:eastAsia="黑体"/>
          <w:sz w:val="44"/>
          <w:szCs w:val="44"/>
        </w:rPr>
        <w:t>规范</w:t>
      </w:r>
    </w:p>
    <w:p>
      <w:pPr>
        <w:spacing w:line="360" w:lineRule="auto"/>
        <w:jc w:val="center"/>
        <w:rPr>
          <w:rFonts w:hint="eastAsia" w:ascii="黑体" w:hAnsi="黑体" w:eastAsia="黑体"/>
          <w:sz w:val="36"/>
          <w:szCs w:val="36"/>
        </w:rPr>
      </w:pPr>
      <w:r>
        <w:rPr>
          <w:rFonts w:ascii="黑体" w:hAnsi="黑体" w:eastAsia="黑体"/>
          <w:sz w:val="36"/>
          <w:szCs w:val="36"/>
        </w:rPr>
        <w:t>《</w:t>
      </w:r>
      <w:bookmarkStart w:id="2" w:name="_Hlk143061882"/>
      <w:r>
        <w:rPr>
          <w:rFonts w:hint="eastAsia" w:ascii="黑体" w:hAnsi="黑体" w:eastAsia="黑体"/>
          <w:sz w:val="36"/>
          <w:szCs w:val="36"/>
        </w:rPr>
        <w:t xml:space="preserve">测量用互感器型式评价大纲 </w:t>
      </w:r>
    </w:p>
    <w:p>
      <w:pPr>
        <w:spacing w:line="360" w:lineRule="auto"/>
        <w:jc w:val="center"/>
        <w:rPr>
          <w:rFonts w:ascii="黑体" w:hAnsi="黑体" w:eastAsia="黑体"/>
          <w:sz w:val="36"/>
          <w:szCs w:val="36"/>
        </w:rPr>
      </w:pPr>
      <w:r>
        <w:rPr>
          <w:rFonts w:hint="eastAsia" w:ascii="黑体" w:hAnsi="黑体" w:eastAsia="黑体"/>
          <w:sz w:val="36"/>
          <w:szCs w:val="36"/>
        </w:rPr>
        <w:t>第7部分：宽量程电流互感器</w:t>
      </w:r>
      <w:bookmarkEnd w:id="2"/>
      <w:r>
        <w:rPr>
          <w:rFonts w:ascii="黑体" w:hAnsi="黑体" w:eastAsia="黑体"/>
          <w:sz w:val="36"/>
          <w:szCs w:val="36"/>
        </w:rPr>
        <w:t>》</w:t>
      </w:r>
    </w:p>
    <w:p>
      <w:pPr>
        <w:spacing w:line="360" w:lineRule="auto"/>
        <w:jc w:val="center"/>
        <w:rPr>
          <w:rFonts w:eastAsia="黑体"/>
          <w:b/>
          <w:sz w:val="36"/>
          <w:szCs w:val="36"/>
        </w:rPr>
      </w:pPr>
    </w:p>
    <w:p>
      <w:pPr>
        <w:spacing w:line="360" w:lineRule="auto"/>
        <w:jc w:val="center"/>
        <w:rPr>
          <w:rFonts w:ascii="黑体" w:hAnsi="黑体" w:eastAsia="黑体"/>
          <w:sz w:val="44"/>
          <w:szCs w:val="44"/>
        </w:rPr>
      </w:pPr>
      <w:r>
        <w:rPr>
          <w:rFonts w:ascii="黑体" w:hAnsi="黑体" w:eastAsia="黑体"/>
          <w:sz w:val="44"/>
          <w:szCs w:val="44"/>
        </w:rPr>
        <w:t>编 制 说 明</w:t>
      </w:r>
    </w:p>
    <w:bookmarkEnd w:id="0"/>
    <w:bookmarkEnd w:id="1"/>
    <w:p>
      <w:pPr>
        <w:spacing w:line="360" w:lineRule="auto"/>
        <w:jc w:val="center"/>
        <w:rPr>
          <w:rFonts w:eastAsia="黑体"/>
          <w:sz w:val="36"/>
          <w:szCs w:val="28"/>
        </w:rPr>
      </w:pPr>
    </w:p>
    <w:p>
      <w:pPr>
        <w:spacing w:line="360" w:lineRule="auto"/>
        <w:jc w:val="center"/>
        <w:rPr>
          <w:rFonts w:eastAsia="黑体"/>
          <w:sz w:val="36"/>
          <w:szCs w:val="28"/>
        </w:rPr>
      </w:pPr>
    </w:p>
    <w:p>
      <w:pPr>
        <w:spacing w:line="360" w:lineRule="auto"/>
        <w:jc w:val="center"/>
        <w:rPr>
          <w:rFonts w:eastAsia="黑体"/>
          <w:sz w:val="36"/>
          <w:szCs w:val="28"/>
        </w:rPr>
      </w:pPr>
    </w:p>
    <w:p>
      <w:pPr>
        <w:spacing w:line="360" w:lineRule="auto"/>
        <w:jc w:val="center"/>
        <w:rPr>
          <w:rFonts w:eastAsia="黑体"/>
          <w:sz w:val="36"/>
          <w:szCs w:val="28"/>
        </w:rPr>
      </w:pPr>
    </w:p>
    <w:p>
      <w:pPr>
        <w:spacing w:line="360" w:lineRule="auto"/>
        <w:jc w:val="center"/>
        <w:rPr>
          <w:rFonts w:eastAsia="黑体"/>
          <w:sz w:val="36"/>
          <w:szCs w:val="28"/>
        </w:rPr>
      </w:pPr>
    </w:p>
    <w:p>
      <w:pPr>
        <w:spacing w:line="360" w:lineRule="auto"/>
        <w:jc w:val="center"/>
        <w:rPr>
          <w:rFonts w:eastAsia="黑体"/>
          <w:sz w:val="36"/>
          <w:szCs w:val="28"/>
        </w:rPr>
      </w:pPr>
    </w:p>
    <w:p>
      <w:pPr>
        <w:spacing w:line="360" w:lineRule="auto"/>
        <w:jc w:val="center"/>
        <w:rPr>
          <w:rFonts w:eastAsia="黑体"/>
          <w:sz w:val="36"/>
          <w:szCs w:val="28"/>
        </w:rPr>
      </w:pPr>
    </w:p>
    <w:p>
      <w:pPr>
        <w:spacing w:line="360" w:lineRule="auto"/>
        <w:jc w:val="center"/>
        <w:rPr>
          <w:rFonts w:eastAsia="黑体"/>
          <w:sz w:val="36"/>
          <w:szCs w:val="28"/>
        </w:rPr>
      </w:pPr>
    </w:p>
    <w:p>
      <w:pPr>
        <w:spacing w:line="460" w:lineRule="exact"/>
        <w:jc w:val="center"/>
        <w:rPr>
          <w:rFonts w:ascii="黑体" w:hAnsi="黑体" w:eastAsia="黑体"/>
          <w:sz w:val="28"/>
          <w:szCs w:val="28"/>
        </w:rPr>
      </w:pPr>
      <w:bookmarkStart w:id="3" w:name="_Hlk143061978"/>
      <w:bookmarkStart w:id="4" w:name="_Hlk116467268"/>
      <w:r>
        <w:rPr>
          <w:rFonts w:hint="eastAsia" w:ascii="黑体" w:hAnsi="黑体" w:eastAsia="黑体"/>
          <w:sz w:val="28"/>
          <w:szCs w:val="28"/>
        </w:rPr>
        <w:t>国家高电压计量站</w:t>
      </w:r>
    </w:p>
    <w:p>
      <w:pPr>
        <w:spacing w:line="460" w:lineRule="exact"/>
        <w:jc w:val="center"/>
        <w:rPr>
          <w:rFonts w:ascii="黑体" w:hAnsi="黑体" w:eastAsia="黑体"/>
          <w:sz w:val="28"/>
          <w:szCs w:val="28"/>
        </w:rPr>
      </w:pPr>
      <w:r>
        <w:rPr>
          <w:rFonts w:hint="eastAsia" w:ascii="黑体" w:hAnsi="黑体" w:eastAsia="黑体"/>
          <w:sz w:val="28"/>
          <w:szCs w:val="28"/>
        </w:rPr>
        <w:t>浙江省计量科学研究院</w:t>
      </w:r>
    </w:p>
    <w:p>
      <w:pPr>
        <w:spacing w:line="460" w:lineRule="exact"/>
        <w:jc w:val="center"/>
        <w:rPr>
          <w:rFonts w:ascii="黑体" w:hAnsi="黑体" w:eastAsia="黑体"/>
          <w:sz w:val="28"/>
          <w:szCs w:val="28"/>
        </w:rPr>
      </w:pPr>
      <w:r>
        <w:rPr>
          <w:rFonts w:hint="eastAsia" w:ascii="黑体" w:hAnsi="黑体" w:eastAsia="黑体"/>
          <w:sz w:val="28"/>
          <w:szCs w:val="28"/>
        </w:rPr>
        <w:t>网河南省电力公司营销服务中心</w:t>
      </w:r>
    </w:p>
    <w:p>
      <w:pPr>
        <w:spacing w:line="460" w:lineRule="exact"/>
        <w:jc w:val="center"/>
        <w:rPr>
          <w:rFonts w:ascii="黑体" w:hAnsi="黑体" w:eastAsia="黑体"/>
          <w:sz w:val="28"/>
          <w:szCs w:val="28"/>
        </w:rPr>
      </w:pPr>
      <w:r>
        <w:rPr>
          <w:rFonts w:hint="eastAsia" w:ascii="黑体" w:hAnsi="黑体" w:eastAsia="黑体"/>
          <w:sz w:val="28"/>
          <w:szCs w:val="28"/>
        </w:rPr>
        <w:t>南方电网科学研究院有限责任公司</w:t>
      </w:r>
    </w:p>
    <w:p>
      <w:pPr>
        <w:spacing w:line="460" w:lineRule="exact"/>
        <w:jc w:val="center"/>
        <w:rPr>
          <w:rFonts w:ascii="黑体" w:hAnsi="黑体" w:eastAsia="黑体"/>
          <w:sz w:val="28"/>
          <w:szCs w:val="28"/>
        </w:rPr>
      </w:pPr>
      <w:r>
        <w:rPr>
          <w:rFonts w:hint="eastAsia" w:ascii="黑体" w:hAnsi="黑体" w:eastAsia="黑体"/>
          <w:sz w:val="28"/>
          <w:szCs w:val="28"/>
        </w:rPr>
        <w:t>浙江天际互感器股份有限公司</w:t>
      </w:r>
    </w:p>
    <w:p>
      <w:pPr>
        <w:spacing w:line="460" w:lineRule="exact"/>
        <w:jc w:val="center"/>
        <w:rPr>
          <w:rFonts w:ascii="黑体" w:hAnsi="黑体" w:eastAsia="黑体"/>
          <w:sz w:val="28"/>
          <w:szCs w:val="28"/>
        </w:rPr>
      </w:pPr>
      <w:r>
        <w:rPr>
          <w:rFonts w:hint="eastAsia" w:ascii="黑体" w:hAnsi="黑体" w:eastAsia="黑体"/>
          <w:sz w:val="28"/>
          <w:szCs w:val="28"/>
        </w:rPr>
        <w:t>武汉磐电科技股份有限公司</w:t>
      </w:r>
      <w:bookmarkEnd w:id="3"/>
    </w:p>
    <w:p>
      <w:pPr>
        <w:spacing w:line="460" w:lineRule="exact"/>
        <w:jc w:val="center"/>
        <w:rPr>
          <w:rFonts w:ascii="黑体" w:hAnsi="黑体" w:eastAsia="黑体"/>
          <w:sz w:val="32"/>
          <w:szCs w:val="32"/>
        </w:rPr>
      </w:pPr>
    </w:p>
    <w:p>
      <w:pPr>
        <w:jc w:val="center"/>
        <w:rPr>
          <w:rFonts w:ascii="黑体" w:hAnsi="黑体" w:eastAsia="黑体"/>
          <w:sz w:val="32"/>
          <w:szCs w:val="32"/>
        </w:rPr>
      </w:pPr>
      <w:r>
        <w:rPr>
          <w:rFonts w:ascii="黑体" w:hAnsi="黑体" w:eastAsia="黑体"/>
          <w:sz w:val="32"/>
          <w:szCs w:val="32"/>
        </w:rPr>
        <w:t>20</w:t>
      </w:r>
      <w:r>
        <w:rPr>
          <w:rFonts w:hint="eastAsia" w:ascii="黑体" w:hAnsi="黑体" w:eastAsia="黑体"/>
          <w:sz w:val="32"/>
          <w:szCs w:val="32"/>
        </w:rPr>
        <w:t>2</w:t>
      </w:r>
      <w:r>
        <w:rPr>
          <w:rFonts w:hint="eastAsia" w:ascii="黑体" w:hAnsi="黑体" w:eastAsia="黑体"/>
          <w:sz w:val="32"/>
          <w:szCs w:val="32"/>
          <w:lang w:val="en-US" w:eastAsia="zh-CN"/>
        </w:rPr>
        <w:t>4</w:t>
      </w:r>
      <w:r>
        <w:rPr>
          <w:rFonts w:ascii="黑体" w:hAnsi="黑体" w:eastAsia="黑体"/>
          <w:sz w:val="32"/>
          <w:szCs w:val="32"/>
        </w:rPr>
        <w:t>年</w:t>
      </w:r>
      <w:r>
        <w:rPr>
          <w:rFonts w:hint="eastAsia" w:ascii="黑体" w:hAnsi="黑体" w:eastAsia="黑体"/>
          <w:sz w:val="32"/>
          <w:szCs w:val="32"/>
          <w:lang w:val="en-US" w:eastAsia="zh-CN"/>
        </w:rPr>
        <w:t>3</w:t>
      </w:r>
      <w:r>
        <w:rPr>
          <w:rFonts w:ascii="黑体" w:hAnsi="黑体" w:eastAsia="黑体"/>
          <w:sz w:val="32"/>
          <w:szCs w:val="32"/>
        </w:rPr>
        <w:t>月</w:t>
      </w:r>
    </w:p>
    <w:p>
      <w:pPr>
        <w:jc w:val="center"/>
        <w:rPr>
          <w:rFonts w:ascii="黑体" w:hAnsi="黑体" w:eastAsia="黑体"/>
          <w:sz w:val="32"/>
          <w:szCs w:val="32"/>
        </w:rPr>
      </w:pPr>
    </w:p>
    <w:p>
      <w:pPr>
        <w:jc w:val="center"/>
        <w:rPr>
          <w:rFonts w:ascii="黑体" w:hAnsi="黑体" w:eastAsia="黑体"/>
          <w:sz w:val="32"/>
          <w:szCs w:val="32"/>
        </w:rPr>
      </w:pPr>
    </w:p>
    <w:bookmarkEnd w:id="4"/>
    <w:p/>
    <w:p>
      <w:pPr>
        <w:pStyle w:val="13"/>
        <w:spacing w:before="0" w:line="500" w:lineRule="exact"/>
        <w:rPr>
          <w:rFonts w:ascii="宋体" w:hAnsi="宋体"/>
          <w:color w:val="000000"/>
          <w:sz w:val="36"/>
          <w:szCs w:val="36"/>
        </w:rPr>
      </w:pPr>
      <w:bookmarkStart w:id="5" w:name="_Toc116567667"/>
      <w:r>
        <w:rPr>
          <w:rFonts w:ascii="宋体" w:hAnsi="宋体"/>
          <w:color w:val="000000"/>
          <w:sz w:val="36"/>
          <w:szCs w:val="36"/>
        </w:rPr>
        <w:t>国家计量技术</w:t>
      </w:r>
      <w:r>
        <w:rPr>
          <w:rFonts w:hint="eastAsia" w:ascii="宋体" w:hAnsi="宋体"/>
          <w:color w:val="000000"/>
          <w:sz w:val="36"/>
          <w:szCs w:val="36"/>
        </w:rPr>
        <w:t>规范</w:t>
      </w:r>
      <w:bookmarkEnd w:id="5"/>
    </w:p>
    <w:p>
      <w:pPr>
        <w:pStyle w:val="13"/>
        <w:spacing w:before="0" w:line="500" w:lineRule="exact"/>
        <w:rPr>
          <w:rFonts w:hint="eastAsia" w:ascii="宋体" w:hAnsi="宋体"/>
          <w:color w:val="000000"/>
          <w:sz w:val="36"/>
          <w:szCs w:val="36"/>
        </w:rPr>
      </w:pPr>
      <w:bookmarkStart w:id="6" w:name="_Toc116567668"/>
      <w:r>
        <w:rPr>
          <w:rFonts w:ascii="宋体" w:hAnsi="宋体"/>
          <w:color w:val="000000"/>
          <w:sz w:val="36"/>
          <w:szCs w:val="36"/>
        </w:rPr>
        <w:t>《</w:t>
      </w:r>
      <w:r>
        <w:rPr>
          <w:rFonts w:hint="eastAsia" w:ascii="宋体" w:hAnsi="宋体"/>
          <w:color w:val="000000"/>
          <w:sz w:val="36"/>
          <w:szCs w:val="36"/>
        </w:rPr>
        <w:t xml:space="preserve">测量用互感器型式评价大纲 </w:t>
      </w:r>
    </w:p>
    <w:p>
      <w:pPr>
        <w:pStyle w:val="13"/>
        <w:spacing w:before="0" w:line="500" w:lineRule="exact"/>
        <w:rPr>
          <w:rFonts w:ascii="宋体" w:hAnsi="宋体"/>
          <w:color w:val="000000"/>
          <w:sz w:val="36"/>
          <w:szCs w:val="36"/>
        </w:rPr>
      </w:pPr>
      <w:r>
        <w:rPr>
          <w:rFonts w:hint="eastAsia" w:ascii="宋体" w:hAnsi="宋体"/>
          <w:color w:val="000000"/>
          <w:sz w:val="36"/>
          <w:szCs w:val="36"/>
        </w:rPr>
        <w:t>第7部分：宽量程电流互感器</w:t>
      </w:r>
      <w:r>
        <w:rPr>
          <w:rFonts w:ascii="宋体" w:hAnsi="宋体"/>
          <w:color w:val="000000"/>
          <w:sz w:val="36"/>
          <w:szCs w:val="36"/>
        </w:rPr>
        <w:t>》</w:t>
      </w:r>
      <w:bookmarkEnd w:id="6"/>
    </w:p>
    <w:p>
      <w:pPr>
        <w:pStyle w:val="13"/>
        <w:spacing w:before="120" w:after="240"/>
        <w:rPr>
          <w:rFonts w:ascii="Times New Roman" w:hAnsi="Times New Roman"/>
        </w:rPr>
      </w:pPr>
      <w:bookmarkStart w:id="7" w:name="_Toc116567669"/>
      <w:r>
        <w:rPr>
          <w:rFonts w:ascii="Times New Roman" w:hAnsi="Times New Roman"/>
        </w:rPr>
        <w:t>编制说明</w:t>
      </w:r>
      <w:bookmarkEnd w:id="7"/>
    </w:p>
    <w:p>
      <w:pPr>
        <w:pStyle w:val="11"/>
        <w:spacing w:after="0"/>
        <w:ind w:firstLine="560" w:firstLineChars="200"/>
        <w:jc w:val="left"/>
        <w:rPr>
          <w:sz w:val="28"/>
          <w:szCs w:val="28"/>
        </w:rPr>
      </w:pPr>
      <w:bookmarkStart w:id="8" w:name="_Toc116567670"/>
      <w:bookmarkStart w:id="9" w:name="_Toc116567851"/>
      <w:bookmarkStart w:id="10" w:name="_Hlk71556174"/>
      <w:r>
        <w:rPr>
          <w:rFonts w:hint="eastAsia"/>
          <w:sz w:val="28"/>
          <w:szCs w:val="28"/>
        </w:rPr>
        <w:t>一、工作简况</w:t>
      </w:r>
      <w:bookmarkEnd w:id="8"/>
      <w:bookmarkEnd w:id="9"/>
    </w:p>
    <w:p>
      <w:pPr>
        <w:pStyle w:val="25"/>
        <w:numPr>
          <w:ilvl w:val="0"/>
          <w:numId w:val="1"/>
        </w:numPr>
        <w:spacing w:line="360" w:lineRule="auto"/>
        <w:ind w:firstLineChars="0"/>
        <w:rPr>
          <w:rFonts w:ascii="宋体"/>
          <w:sz w:val="24"/>
          <w:szCs w:val="20"/>
        </w:rPr>
      </w:pPr>
      <w:r>
        <w:rPr>
          <w:rFonts w:hint="eastAsia" w:ascii="宋体"/>
          <w:sz w:val="24"/>
          <w:szCs w:val="20"/>
        </w:rPr>
        <w:t>任务来源</w:t>
      </w:r>
    </w:p>
    <w:p>
      <w:pPr>
        <w:spacing w:line="360" w:lineRule="auto"/>
        <w:ind w:firstLine="480" w:firstLineChars="200"/>
        <w:rPr>
          <w:rFonts w:ascii="宋体"/>
          <w:sz w:val="24"/>
          <w:szCs w:val="20"/>
        </w:rPr>
      </w:pPr>
      <w:r>
        <w:rPr>
          <w:rFonts w:hint="eastAsia" w:ascii="宋体"/>
          <w:sz w:val="24"/>
          <w:szCs w:val="20"/>
        </w:rPr>
        <w:t>国家计量技术规范《测量用互感器型式评价大纲 第7部分：宽量程电流互感器》根据国家市场总局《关于印发2</w:t>
      </w:r>
      <w:r>
        <w:rPr>
          <w:rFonts w:ascii="宋体"/>
          <w:sz w:val="24"/>
          <w:szCs w:val="20"/>
        </w:rPr>
        <w:t>022</w:t>
      </w:r>
      <w:r>
        <w:rPr>
          <w:rFonts w:hint="eastAsia" w:ascii="宋体"/>
          <w:sz w:val="24"/>
          <w:szCs w:val="20"/>
        </w:rPr>
        <w:t>年国家计量技术规范项目制定、修订及宣贯计划的通知》（市监计量发[2</w:t>
      </w:r>
      <w:r>
        <w:rPr>
          <w:rFonts w:ascii="宋体"/>
          <w:sz w:val="24"/>
          <w:szCs w:val="20"/>
        </w:rPr>
        <w:t>022]70</w:t>
      </w:r>
      <w:r>
        <w:rPr>
          <w:rFonts w:hint="eastAsia" w:ascii="宋体"/>
          <w:sz w:val="24"/>
          <w:szCs w:val="20"/>
        </w:rPr>
        <w:t>号）制定。</w:t>
      </w:r>
    </w:p>
    <w:p>
      <w:pPr>
        <w:pStyle w:val="25"/>
        <w:numPr>
          <w:ilvl w:val="0"/>
          <w:numId w:val="1"/>
        </w:numPr>
        <w:spacing w:line="360" w:lineRule="auto"/>
        <w:ind w:firstLineChars="0"/>
        <w:rPr>
          <w:rFonts w:ascii="宋体"/>
          <w:sz w:val="24"/>
          <w:szCs w:val="20"/>
        </w:rPr>
      </w:pPr>
      <w:r>
        <w:rPr>
          <w:rFonts w:hint="eastAsia" w:ascii="宋体"/>
          <w:sz w:val="24"/>
          <w:szCs w:val="20"/>
        </w:rPr>
        <w:t>制定背景</w:t>
      </w:r>
    </w:p>
    <w:p>
      <w:pPr>
        <w:spacing w:line="360" w:lineRule="auto"/>
        <w:ind w:firstLine="480" w:firstLineChars="200"/>
        <w:rPr>
          <w:rFonts w:ascii="宋体"/>
          <w:sz w:val="24"/>
          <w:szCs w:val="20"/>
        </w:rPr>
      </w:pPr>
      <w:r>
        <w:rPr>
          <w:rFonts w:hint="eastAsia" w:ascii="宋体"/>
          <w:sz w:val="24"/>
          <w:szCs w:val="20"/>
        </w:rPr>
        <w:t>随着能源互联网建设和现代工</w:t>
      </w:r>
      <w:bookmarkStart w:id="44" w:name="_GoBack"/>
      <w:bookmarkEnd w:id="44"/>
      <w:r>
        <w:rPr>
          <w:rFonts w:hint="eastAsia" w:ascii="宋体"/>
          <w:sz w:val="24"/>
          <w:szCs w:val="20"/>
        </w:rPr>
        <w:t>业发展，分布式能源大量接入电网，电网用户负荷也呈现多样化的趋势，电流波动范围日益增大。为了满足电能精准计量需求，实现更大量程范围内更高准确度的电流测量能力，相关部门研制了宽量程电流互感器（产品类型包括0.4 kV电流互感器、10 kV~35 kV电流互感器），目前已经在全国多个省份得到了推广应用。</w:t>
      </w:r>
    </w:p>
    <w:p>
      <w:pPr>
        <w:spacing w:line="360" w:lineRule="auto"/>
        <w:ind w:firstLine="480" w:firstLineChars="200"/>
        <w:rPr>
          <w:rFonts w:ascii="宋体"/>
          <w:sz w:val="24"/>
          <w:szCs w:val="20"/>
        </w:rPr>
      </w:pPr>
      <w:r>
        <w:rPr>
          <w:rFonts w:hint="eastAsia" w:ascii="宋体"/>
          <w:sz w:val="24"/>
          <w:szCs w:val="20"/>
        </w:rPr>
        <w:t>作为涉及贸易结算的新型计量器具，有明确的型式评价要求。然而，现有电流互感器相关型式评价大纲主要针对测量范围为（1%~120%）额定电流的电流互感器，无法满足宽量程电流互感器的型式评价需求。为了更好规范宽量程电流互感器型式评价试验项目，制定宽量程电流互感器的型式评价大纲迫在眉睫。</w:t>
      </w:r>
    </w:p>
    <w:p>
      <w:pPr>
        <w:pStyle w:val="25"/>
        <w:numPr>
          <w:ilvl w:val="0"/>
          <w:numId w:val="1"/>
        </w:numPr>
        <w:spacing w:line="360" w:lineRule="auto"/>
        <w:ind w:firstLineChars="0"/>
        <w:rPr>
          <w:rFonts w:ascii="宋体"/>
          <w:sz w:val="24"/>
          <w:szCs w:val="20"/>
        </w:rPr>
      </w:pPr>
      <w:r>
        <w:rPr>
          <w:rFonts w:hint="eastAsia" w:ascii="宋体"/>
          <w:sz w:val="24"/>
          <w:szCs w:val="20"/>
        </w:rPr>
        <w:t>起草过程</w:t>
      </w:r>
    </w:p>
    <w:p>
      <w:pPr>
        <w:spacing w:line="360" w:lineRule="auto"/>
        <w:ind w:firstLine="480" w:firstLineChars="200"/>
        <w:rPr>
          <w:rFonts w:ascii="宋体"/>
          <w:sz w:val="24"/>
          <w:szCs w:val="20"/>
        </w:rPr>
      </w:pPr>
      <w:r>
        <w:rPr>
          <w:rFonts w:hint="eastAsia" w:ascii="宋体"/>
          <w:sz w:val="24"/>
          <w:szCs w:val="20"/>
        </w:rPr>
        <w:t>本技术规范的起草单位有</w:t>
      </w:r>
      <w:r>
        <w:rPr>
          <w:rFonts w:ascii="宋体"/>
          <w:sz w:val="24"/>
          <w:szCs w:val="20"/>
        </w:rPr>
        <w:t>6</w:t>
      </w:r>
      <w:r>
        <w:rPr>
          <w:rFonts w:hint="eastAsia" w:ascii="宋体"/>
          <w:sz w:val="24"/>
          <w:szCs w:val="20"/>
        </w:rPr>
        <w:t>家： 国家高电压计量站、浙江省计量科学研究院、网河南省电力公司营销服务中心、南方电网科学研究院有限责任公司、浙江天际互感器股份有限公司、武汉磐电科技股份有限公司；起草人</w:t>
      </w:r>
      <w:r>
        <w:rPr>
          <w:rFonts w:ascii="宋体"/>
          <w:sz w:val="24"/>
          <w:szCs w:val="20"/>
        </w:rPr>
        <w:t>7</w:t>
      </w:r>
      <w:r>
        <w:rPr>
          <w:rFonts w:hint="eastAsia" w:ascii="宋体"/>
          <w:sz w:val="24"/>
          <w:szCs w:val="20"/>
        </w:rPr>
        <w:t>人：雷民、陈习文、吴白丁、丁涛、胡珊珊、祝顺峰、孙军。</w:t>
      </w:r>
    </w:p>
    <w:p>
      <w:pPr>
        <w:pStyle w:val="25"/>
        <w:numPr>
          <w:ilvl w:val="0"/>
          <w:numId w:val="2"/>
        </w:numPr>
        <w:spacing w:line="360" w:lineRule="auto"/>
        <w:ind w:firstLineChars="0"/>
        <w:rPr>
          <w:rFonts w:ascii="宋体"/>
          <w:sz w:val="24"/>
          <w:szCs w:val="20"/>
        </w:rPr>
      </w:pPr>
      <w:r>
        <w:rPr>
          <w:rFonts w:ascii="宋体"/>
          <w:sz w:val="24"/>
          <w:szCs w:val="20"/>
        </w:rPr>
        <w:t>2022</w:t>
      </w:r>
      <w:r>
        <w:rPr>
          <w:rFonts w:hint="eastAsia" w:ascii="宋体"/>
          <w:sz w:val="24"/>
          <w:szCs w:val="20"/>
        </w:rPr>
        <w:t>年</w:t>
      </w:r>
      <w:r>
        <w:rPr>
          <w:rFonts w:ascii="宋体"/>
          <w:sz w:val="24"/>
          <w:szCs w:val="20"/>
        </w:rPr>
        <w:t>7</w:t>
      </w:r>
      <w:r>
        <w:rPr>
          <w:rFonts w:hint="eastAsia" w:ascii="宋体"/>
          <w:sz w:val="24"/>
          <w:szCs w:val="20"/>
        </w:rPr>
        <w:t>月，计划下达。</w:t>
      </w:r>
    </w:p>
    <w:p>
      <w:pPr>
        <w:pStyle w:val="25"/>
        <w:numPr>
          <w:ilvl w:val="0"/>
          <w:numId w:val="2"/>
        </w:numPr>
        <w:spacing w:line="360" w:lineRule="auto"/>
        <w:ind w:firstLineChars="0"/>
        <w:rPr>
          <w:rFonts w:ascii="宋体"/>
          <w:sz w:val="24"/>
          <w:szCs w:val="20"/>
        </w:rPr>
      </w:pPr>
      <w:r>
        <w:rPr>
          <w:rFonts w:hint="eastAsia" w:ascii="宋体"/>
          <w:sz w:val="24"/>
          <w:szCs w:val="20"/>
        </w:rPr>
        <w:t>征求意见稿起草</w:t>
      </w:r>
    </w:p>
    <w:p>
      <w:pPr>
        <w:spacing w:line="360" w:lineRule="auto"/>
        <w:ind w:firstLine="480" w:firstLineChars="200"/>
        <w:rPr>
          <w:rFonts w:ascii="宋体"/>
          <w:sz w:val="24"/>
          <w:szCs w:val="20"/>
        </w:rPr>
      </w:pPr>
      <w:r>
        <w:rPr>
          <w:rFonts w:hint="eastAsia" w:ascii="宋体"/>
          <w:sz w:val="24"/>
          <w:szCs w:val="20"/>
        </w:rPr>
        <w:t>（1）</w:t>
      </w:r>
      <w:r>
        <w:rPr>
          <w:rFonts w:ascii="宋体"/>
          <w:sz w:val="24"/>
          <w:szCs w:val="20"/>
        </w:rPr>
        <w:t>2022</w:t>
      </w:r>
      <w:r>
        <w:rPr>
          <w:rFonts w:hint="eastAsia" w:ascii="宋体"/>
          <w:sz w:val="24"/>
          <w:szCs w:val="20"/>
        </w:rPr>
        <w:t>年6月，召开起草工作组启动工作会议，在计划申报阶段提交的</w:t>
      </w:r>
      <w:r>
        <w:rPr>
          <w:rFonts w:hint="eastAsia" w:ascii="宋体"/>
          <w:sz w:val="24"/>
          <w:szCs w:val="20"/>
          <w:lang w:val="en-US" w:eastAsia="zh-CN"/>
        </w:rPr>
        <w:t>草案</w:t>
      </w:r>
      <w:r>
        <w:rPr>
          <w:rFonts w:hint="eastAsia" w:ascii="宋体"/>
          <w:sz w:val="24"/>
          <w:szCs w:val="20"/>
        </w:rPr>
        <w:t>稿基础上，讨论并确定技术规范框架及主要技术内容，会议详细情况见起草工作组启动工作会议纪要。</w:t>
      </w:r>
    </w:p>
    <w:p>
      <w:pPr>
        <w:spacing w:line="360" w:lineRule="auto"/>
        <w:ind w:firstLine="480" w:firstLineChars="200"/>
        <w:rPr>
          <w:rFonts w:ascii="宋体"/>
          <w:sz w:val="24"/>
          <w:szCs w:val="20"/>
        </w:rPr>
      </w:pPr>
      <w:r>
        <w:rPr>
          <w:rFonts w:hint="eastAsia" w:ascii="宋体"/>
          <w:sz w:val="24"/>
          <w:szCs w:val="20"/>
        </w:rPr>
        <w:t>（2）</w:t>
      </w:r>
      <w:r>
        <w:rPr>
          <w:rFonts w:ascii="宋体"/>
          <w:sz w:val="24"/>
          <w:szCs w:val="20"/>
        </w:rPr>
        <w:t>2022</w:t>
      </w:r>
      <w:r>
        <w:rPr>
          <w:rFonts w:hint="eastAsia" w:ascii="宋体"/>
          <w:sz w:val="24"/>
          <w:szCs w:val="20"/>
        </w:rPr>
        <w:t>年7月-</w:t>
      </w:r>
      <w:r>
        <w:rPr>
          <w:rFonts w:ascii="宋体"/>
          <w:sz w:val="24"/>
          <w:szCs w:val="20"/>
        </w:rPr>
        <w:t>2023</w:t>
      </w:r>
      <w:r>
        <w:rPr>
          <w:rFonts w:hint="eastAsia" w:ascii="宋体"/>
          <w:sz w:val="24"/>
          <w:szCs w:val="20"/>
        </w:rPr>
        <w:t>年4月，根据会议讨论意见，起草工作组组织开展宽量程电流互感器分类编码、电流互感器二次额定电流实际使用情况等方面的调查分析，编写形成了征求意见稿及附件资料。</w:t>
      </w:r>
    </w:p>
    <w:p>
      <w:pPr>
        <w:spacing w:line="360" w:lineRule="auto"/>
        <w:ind w:firstLine="480" w:firstLineChars="200"/>
        <w:rPr>
          <w:rFonts w:ascii="宋体"/>
          <w:sz w:val="24"/>
          <w:szCs w:val="20"/>
        </w:rPr>
      </w:pPr>
      <w:r>
        <w:rPr>
          <w:rFonts w:hint="eastAsia" w:ascii="宋体"/>
          <w:sz w:val="24"/>
          <w:szCs w:val="20"/>
        </w:rPr>
        <w:t>（3）</w:t>
      </w:r>
      <w:r>
        <w:rPr>
          <w:rFonts w:ascii="宋体"/>
          <w:sz w:val="24"/>
          <w:szCs w:val="20"/>
        </w:rPr>
        <w:t>2023</w:t>
      </w:r>
      <w:r>
        <w:rPr>
          <w:rFonts w:hint="eastAsia" w:ascii="宋体"/>
          <w:sz w:val="24"/>
          <w:szCs w:val="20"/>
        </w:rPr>
        <w:t>年5月1</w:t>
      </w:r>
      <w:r>
        <w:rPr>
          <w:rFonts w:ascii="宋体"/>
          <w:sz w:val="24"/>
          <w:szCs w:val="20"/>
        </w:rPr>
        <w:t>2</w:t>
      </w:r>
      <w:r>
        <w:rPr>
          <w:rFonts w:hint="eastAsia" w:ascii="宋体"/>
          <w:sz w:val="24"/>
          <w:szCs w:val="20"/>
        </w:rPr>
        <w:t>日，召开起草工作组第二次工作会议，结合前期调研对标准稿内容进行了详细讨论，会议详细情况见起草工作组第二次工作会议纪要。</w:t>
      </w:r>
    </w:p>
    <w:p>
      <w:pPr>
        <w:spacing w:line="360" w:lineRule="auto"/>
        <w:ind w:firstLine="480" w:firstLineChars="200"/>
        <w:rPr>
          <w:rFonts w:ascii="宋体"/>
          <w:sz w:val="24"/>
          <w:szCs w:val="20"/>
        </w:rPr>
      </w:pPr>
      <w:r>
        <w:rPr>
          <w:rFonts w:hint="eastAsia" w:ascii="宋体"/>
          <w:sz w:val="24"/>
          <w:szCs w:val="20"/>
        </w:rPr>
        <w:t>（</w:t>
      </w:r>
      <w:r>
        <w:rPr>
          <w:rFonts w:ascii="宋体"/>
          <w:sz w:val="24"/>
          <w:szCs w:val="20"/>
        </w:rPr>
        <w:t>4</w:t>
      </w:r>
      <w:r>
        <w:rPr>
          <w:rFonts w:hint="eastAsia" w:ascii="宋体"/>
          <w:sz w:val="24"/>
          <w:szCs w:val="20"/>
        </w:rPr>
        <w:t>）2</w:t>
      </w:r>
      <w:r>
        <w:rPr>
          <w:rFonts w:ascii="宋体"/>
          <w:sz w:val="24"/>
          <w:szCs w:val="20"/>
        </w:rPr>
        <w:t>023</w:t>
      </w:r>
      <w:r>
        <w:rPr>
          <w:rFonts w:hint="eastAsia" w:ascii="宋体"/>
          <w:sz w:val="24"/>
          <w:szCs w:val="20"/>
        </w:rPr>
        <w:t>年</w:t>
      </w:r>
      <w:r>
        <w:rPr>
          <w:rFonts w:ascii="宋体"/>
          <w:sz w:val="24"/>
          <w:szCs w:val="20"/>
        </w:rPr>
        <w:t>5</w:t>
      </w:r>
      <w:r>
        <w:rPr>
          <w:rFonts w:hint="eastAsia" w:ascii="宋体"/>
          <w:sz w:val="24"/>
          <w:szCs w:val="20"/>
        </w:rPr>
        <w:t>月-</w:t>
      </w:r>
      <w:r>
        <w:rPr>
          <w:rFonts w:ascii="宋体"/>
          <w:sz w:val="24"/>
          <w:szCs w:val="20"/>
        </w:rPr>
        <w:t>202</w:t>
      </w:r>
      <w:r>
        <w:rPr>
          <w:rFonts w:hint="eastAsia" w:ascii="宋体"/>
          <w:sz w:val="24"/>
          <w:szCs w:val="20"/>
          <w:lang w:val="en-US" w:eastAsia="zh-CN"/>
        </w:rPr>
        <w:t>4</w:t>
      </w:r>
      <w:r>
        <w:rPr>
          <w:rFonts w:hint="eastAsia" w:ascii="宋体"/>
          <w:sz w:val="24"/>
          <w:szCs w:val="20"/>
        </w:rPr>
        <w:t>年</w:t>
      </w:r>
      <w:r>
        <w:rPr>
          <w:rFonts w:hint="eastAsia" w:ascii="宋体"/>
          <w:sz w:val="24"/>
          <w:szCs w:val="20"/>
          <w:lang w:val="en-US" w:eastAsia="zh-CN"/>
        </w:rPr>
        <w:t>3</w:t>
      </w:r>
      <w:r>
        <w:rPr>
          <w:rFonts w:hint="eastAsia" w:ascii="宋体"/>
          <w:sz w:val="24"/>
          <w:szCs w:val="20"/>
        </w:rPr>
        <w:t>月，根据会议讨论意见，起草工作组组织开展</w:t>
      </w:r>
      <w:r>
        <w:rPr>
          <w:rFonts w:ascii="宋体"/>
          <w:sz w:val="24"/>
          <w:szCs w:val="20"/>
        </w:rPr>
        <w:t>0.1%</w:t>
      </w:r>
      <w:r>
        <w:rPr>
          <w:rFonts w:hint="eastAsia" w:ascii="宋体"/>
          <w:sz w:val="24"/>
          <w:szCs w:val="20"/>
        </w:rPr>
        <w:t>额定电流下泄漏电流对误差的影响、2</w:t>
      </w:r>
      <w:r>
        <w:rPr>
          <w:rFonts w:ascii="宋体"/>
          <w:sz w:val="24"/>
          <w:szCs w:val="20"/>
        </w:rPr>
        <w:t>00%</w:t>
      </w:r>
      <w:r>
        <w:rPr>
          <w:rFonts w:hint="eastAsia" w:ascii="宋体"/>
          <w:sz w:val="24"/>
          <w:szCs w:val="20"/>
        </w:rPr>
        <w:t>额定电流下温升试验</w:t>
      </w:r>
      <w:r>
        <w:rPr>
          <w:rFonts w:hint="eastAsia" w:ascii="宋体"/>
          <w:sz w:val="24"/>
          <w:szCs w:val="20"/>
          <w:lang w:eastAsia="zh-CN"/>
        </w:rPr>
        <w:t>、全量程范围内误差试验</w:t>
      </w:r>
      <w:r>
        <w:rPr>
          <w:rFonts w:hint="eastAsia" w:ascii="宋体"/>
          <w:sz w:val="24"/>
          <w:szCs w:val="20"/>
        </w:rPr>
        <w:t>等的试验验证，修改完善了征求意见稿及附件资料。</w:t>
      </w:r>
    </w:p>
    <w:p>
      <w:pPr>
        <w:pStyle w:val="11"/>
        <w:spacing w:after="0"/>
        <w:ind w:firstLine="560" w:firstLineChars="200"/>
        <w:jc w:val="left"/>
        <w:rPr>
          <w:sz w:val="28"/>
          <w:szCs w:val="28"/>
        </w:rPr>
      </w:pPr>
      <w:bookmarkStart w:id="11" w:name="_Toc116567852"/>
      <w:bookmarkStart w:id="12" w:name="_Toc116567671"/>
      <w:r>
        <w:rPr>
          <w:rFonts w:hint="eastAsia"/>
          <w:sz w:val="28"/>
          <w:szCs w:val="28"/>
        </w:rPr>
        <w:t>二、采纳国际建议情况</w:t>
      </w:r>
      <w:bookmarkEnd w:id="11"/>
      <w:bookmarkEnd w:id="12"/>
    </w:p>
    <w:p>
      <w:pPr>
        <w:spacing w:line="360" w:lineRule="auto"/>
        <w:ind w:firstLine="480" w:firstLineChars="200"/>
        <w:rPr>
          <w:rFonts w:ascii="宋体"/>
          <w:sz w:val="24"/>
          <w:szCs w:val="20"/>
        </w:rPr>
      </w:pPr>
      <w:r>
        <w:rPr>
          <w:rFonts w:hint="eastAsia" w:ascii="宋体"/>
          <w:sz w:val="24"/>
          <w:szCs w:val="20"/>
        </w:rPr>
        <w:t>本技术规范编制过程中没有采纳国际建议。</w:t>
      </w:r>
    </w:p>
    <w:p>
      <w:pPr>
        <w:pStyle w:val="11"/>
        <w:spacing w:before="156" w:beforeLines="50" w:after="0" w:line="500" w:lineRule="exact"/>
        <w:ind w:firstLine="560" w:firstLineChars="200"/>
        <w:jc w:val="left"/>
        <w:rPr>
          <w:sz w:val="28"/>
          <w:szCs w:val="28"/>
        </w:rPr>
      </w:pPr>
      <w:bookmarkStart w:id="13" w:name="_Toc116567672"/>
      <w:bookmarkStart w:id="14" w:name="_Toc116567853"/>
      <w:r>
        <w:rPr>
          <w:rFonts w:hint="eastAsia"/>
          <w:sz w:val="28"/>
          <w:szCs w:val="28"/>
        </w:rPr>
        <w:t>三、国家计量技术规范编制原则、主要内容及其确定依据</w:t>
      </w:r>
      <w:bookmarkEnd w:id="13"/>
      <w:bookmarkEnd w:id="14"/>
    </w:p>
    <w:p>
      <w:pPr>
        <w:spacing w:line="360" w:lineRule="auto"/>
        <w:ind w:firstLine="480" w:firstLineChars="200"/>
        <w:rPr>
          <w:rFonts w:ascii="宋体"/>
          <w:sz w:val="24"/>
          <w:szCs w:val="20"/>
        </w:rPr>
      </w:pPr>
      <w:r>
        <w:rPr>
          <w:rFonts w:hint="eastAsia" w:ascii="宋体"/>
          <w:sz w:val="24"/>
          <w:szCs w:val="20"/>
        </w:rPr>
        <w:t>（一）编写原则</w:t>
      </w:r>
    </w:p>
    <w:p>
      <w:pPr>
        <w:spacing w:line="360" w:lineRule="auto"/>
        <w:ind w:firstLine="480" w:firstLineChars="200"/>
        <w:rPr>
          <w:sz w:val="24"/>
        </w:rPr>
      </w:pPr>
      <w:r>
        <w:rPr>
          <w:rFonts w:hint="eastAsia"/>
          <w:sz w:val="24"/>
        </w:rPr>
        <w:t>本技术规范根据</w:t>
      </w:r>
      <w:r>
        <w:rPr>
          <w:sz w:val="24"/>
        </w:rPr>
        <w:t>JJF</w:t>
      </w:r>
      <w:r>
        <w:rPr>
          <w:rFonts w:hint="eastAsia"/>
          <w:sz w:val="24"/>
          <w:lang w:val="en-US" w:eastAsia="zh-CN"/>
        </w:rPr>
        <w:t xml:space="preserve"> </w:t>
      </w:r>
      <w:r>
        <w:rPr>
          <w:sz w:val="24"/>
        </w:rPr>
        <w:t>1016</w:t>
      </w:r>
      <w:r>
        <w:rPr>
          <w:rFonts w:hint="eastAsia"/>
          <w:sz w:val="24"/>
        </w:rPr>
        <w:t>-</w:t>
      </w:r>
      <w:r>
        <w:rPr>
          <w:sz w:val="24"/>
        </w:rPr>
        <w:t>2014</w:t>
      </w:r>
      <w:r>
        <w:rPr>
          <w:rFonts w:hint="eastAsia"/>
          <w:sz w:val="24"/>
        </w:rPr>
        <w:t>《国家计量型式评价大纲编写规则》、J</w:t>
      </w:r>
      <w:r>
        <w:rPr>
          <w:sz w:val="24"/>
        </w:rPr>
        <w:t>JF</w:t>
      </w:r>
      <w:r>
        <w:rPr>
          <w:rFonts w:hint="eastAsia"/>
          <w:sz w:val="24"/>
          <w:lang w:val="en-US" w:eastAsia="zh-CN"/>
        </w:rPr>
        <w:t xml:space="preserve"> </w:t>
      </w:r>
      <w:r>
        <w:rPr>
          <w:sz w:val="24"/>
        </w:rPr>
        <w:t>1001-2011</w:t>
      </w:r>
      <w:r>
        <w:rPr>
          <w:rFonts w:hint="eastAsia"/>
          <w:sz w:val="24"/>
        </w:rPr>
        <w:t>《通用计量术语及定义》</w:t>
      </w:r>
      <w:r>
        <w:rPr>
          <w:sz w:val="24"/>
        </w:rPr>
        <w:t>和</w:t>
      </w:r>
      <w:r>
        <w:rPr>
          <w:rFonts w:hint="eastAsia"/>
          <w:sz w:val="24"/>
        </w:rPr>
        <w:t>JJF 1059.1-2012《测量不确定度评定与表示》编写。</w:t>
      </w:r>
    </w:p>
    <w:p>
      <w:pPr>
        <w:spacing w:line="360" w:lineRule="auto"/>
        <w:ind w:firstLine="480" w:firstLineChars="200"/>
        <w:rPr>
          <w:rFonts w:ascii="宋体"/>
          <w:sz w:val="24"/>
          <w:szCs w:val="20"/>
        </w:rPr>
      </w:pPr>
      <w:r>
        <w:rPr>
          <w:rFonts w:hint="eastAsia" w:ascii="宋体"/>
          <w:sz w:val="24"/>
          <w:szCs w:val="20"/>
        </w:rPr>
        <w:t>（二）主要内容及其确定依据</w:t>
      </w:r>
    </w:p>
    <w:p>
      <w:pPr>
        <w:snapToGrid w:val="0"/>
        <w:spacing w:line="360" w:lineRule="auto"/>
        <w:ind w:firstLine="480" w:firstLineChars="200"/>
        <w:jc w:val="left"/>
        <w:rPr>
          <w:sz w:val="24"/>
        </w:rPr>
      </w:pPr>
      <w:r>
        <w:rPr>
          <w:rFonts w:hint="eastAsia"/>
          <w:sz w:val="24"/>
        </w:rPr>
        <w:t>本技术规范主要内容包括：范围、引用文件、术语、概述、法制管理要求、计量要求、通用技术要求、型式评价项目一览表、提供样机的数量及样机的使用方式、试验项目的试验方法和条件以及数据处理和合格判据、试验所用计量器具和设备表。主要依据包括：</w:t>
      </w:r>
      <w:r>
        <w:rPr>
          <w:rFonts w:hint="eastAsia"/>
          <w:sz w:val="24"/>
          <w:szCs w:val="21"/>
        </w:rPr>
        <w:t>误差测量装置的技术要求来源于</w:t>
      </w:r>
      <w:r>
        <w:rPr>
          <w:rFonts w:hint="eastAsia"/>
          <w:sz w:val="24"/>
        </w:rPr>
        <w:t>JJG 169 《互感器校验仪》；一次端额定绝缘水平中，</w:t>
      </w:r>
      <w:r>
        <w:rPr>
          <w:rFonts w:hint="eastAsia"/>
          <w:sz w:val="24"/>
          <w:szCs w:val="21"/>
        </w:rPr>
        <w:t>标称系统电压</w:t>
      </w:r>
      <w:r>
        <w:rPr>
          <w:i/>
          <w:sz w:val="24"/>
          <w:szCs w:val="21"/>
        </w:rPr>
        <w:t>U</w:t>
      </w:r>
      <w:r>
        <w:rPr>
          <w:sz w:val="24"/>
          <w:szCs w:val="21"/>
          <w:vertAlign w:val="subscript"/>
        </w:rPr>
        <w:t>n</w:t>
      </w:r>
      <w:r>
        <w:rPr>
          <w:rFonts w:hint="eastAsia"/>
          <w:sz w:val="24"/>
          <w:szCs w:val="21"/>
        </w:rPr>
        <w:t>≤</w:t>
      </w:r>
      <w:r>
        <w:rPr>
          <w:sz w:val="24"/>
          <w:szCs w:val="21"/>
        </w:rPr>
        <w:t>0.66</w:t>
      </w:r>
      <w:r>
        <w:rPr>
          <w:rFonts w:hint="eastAsia"/>
          <w:sz w:val="24"/>
          <w:szCs w:val="21"/>
        </w:rPr>
        <w:t xml:space="preserve"> </w:t>
      </w:r>
      <w:r>
        <w:rPr>
          <w:sz w:val="24"/>
          <w:szCs w:val="21"/>
        </w:rPr>
        <w:t>kV</w:t>
      </w:r>
      <w:r>
        <w:rPr>
          <w:rFonts w:hint="eastAsia"/>
          <w:sz w:val="24"/>
          <w:szCs w:val="21"/>
        </w:rPr>
        <w:t>的宽量程电流互感器中系统标称电压</w:t>
      </w:r>
      <w:r>
        <w:rPr>
          <w:i/>
          <w:sz w:val="24"/>
          <w:szCs w:val="21"/>
        </w:rPr>
        <w:t>U</w:t>
      </w:r>
      <w:r>
        <w:rPr>
          <w:sz w:val="24"/>
          <w:szCs w:val="21"/>
          <w:vertAlign w:val="subscript"/>
        </w:rPr>
        <w:t>n</w:t>
      </w:r>
      <w:r>
        <w:rPr>
          <w:rFonts w:hint="eastAsia"/>
          <w:sz w:val="24"/>
          <w:szCs w:val="21"/>
        </w:rPr>
        <w:t>来源依据为</w:t>
      </w:r>
      <w:r>
        <w:rPr>
          <w:rFonts w:hint="eastAsia"/>
          <w:sz w:val="24"/>
        </w:rPr>
        <w:t>GB/T 156《标准电压》；</w:t>
      </w:r>
      <w:bookmarkStart w:id="15" w:name="_Toc20589"/>
      <w:bookmarkStart w:id="16" w:name="_Toc13277"/>
      <w:bookmarkStart w:id="17" w:name="_Toc2232"/>
      <w:bookmarkStart w:id="18" w:name="_Toc13713"/>
      <w:bookmarkStart w:id="19" w:name="_Toc938"/>
      <w:bookmarkStart w:id="20" w:name="_Toc134623354"/>
      <w:r>
        <w:rPr>
          <w:sz w:val="24"/>
        </w:rPr>
        <w:t>外壳的防护等级</w:t>
      </w:r>
      <w:bookmarkEnd w:id="15"/>
      <w:bookmarkEnd w:id="16"/>
      <w:bookmarkEnd w:id="17"/>
      <w:bookmarkEnd w:id="18"/>
      <w:bookmarkEnd w:id="19"/>
      <w:bookmarkEnd w:id="20"/>
      <w:r>
        <w:rPr>
          <w:rFonts w:hint="eastAsia"/>
          <w:sz w:val="24"/>
        </w:rPr>
        <w:t>的一般要求、实验设备、试验方法应按照GB/T 4208《外壳防护等级（IP代码）》的要求；短时电流试验中绕组铜材的电导率应不小于GB/T 5585.1《电工用铜、铝及其合金母线 第1部分：铜和铜合金母线》规定值的9</w:t>
      </w:r>
      <w:r>
        <w:rPr>
          <w:sz w:val="24"/>
        </w:rPr>
        <w:t>7%</w:t>
      </w:r>
      <w:r>
        <w:rPr>
          <w:rFonts w:hint="eastAsia"/>
          <w:sz w:val="24"/>
        </w:rPr>
        <w:t>、</w:t>
      </w:r>
      <w:bookmarkStart w:id="21" w:name="_Hlk143244582"/>
      <w:r>
        <w:rPr>
          <w:sz w:val="24"/>
          <w:szCs w:val="21"/>
        </w:rPr>
        <w:t>局部放电测量系统应</w:t>
      </w:r>
      <w:bookmarkEnd w:id="21"/>
      <w:r>
        <w:rPr>
          <w:sz w:val="24"/>
          <w:szCs w:val="21"/>
        </w:rPr>
        <w:t>符合</w:t>
      </w:r>
      <w:r>
        <w:rPr>
          <w:rFonts w:hint="eastAsia"/>
          <w:sz w:val="24"/>
        </w:rPr>
        <w:t>GB/T 7354《局部放电测量》的要求；试验电源装置均应满足GB/T 16927.1《高电压试验技术 第1部分：一般定义及试验要求》相关要求；测量系统均应符合GB/T 16927.2《高电压试验技术 第2部分：测量系统》相关要求；规定了I</w:t>
      </w:r>
      <w:r>
        <w:rPr>
          <w:sz w:val="24"/>
        </w:rPr>
        <w:t>K</w:t>
      </w:r>
      <w:r>
        <w:rPr>
          <w:rFonts w:hint="eastAsia"/>
          <w:sz w:val="24"/>
        </w:rPr>
        <w:t>代码的宽量程电流互感器应按GB/T 20138 《电器设备外壳对外界机械碰撞的防护等级（IK代码）》的要求进行试验；冲击耐压试验的依据来源于GB/T 20840.1—2010《互感器 第1部分：通用技术要求》和GB/T 20840.2—2014 《互感器 第2部分：电流互感器的补充技术要求》。</w:t>
      </w:r>
    </w:p>
    <w:p>
      <w:pPr>
        <w:pStyle w:val="11"/>
        <w:spacing w:before="156" w:beforeLines="50" w:after="0" w:line="500" w:lineRule="exact"/>
        <w:ind w:firstLine="560" w:firstLineChars="200"/>
        <w:jc w:val="left"/>
        <w:rPr>
          <w:sz w:val="28"/>
          <w:szCs w:val="28"/>
        </w:rPr>
      </w:pPr>
      <w:bookmarkStart w:id="22" w:name="_Toc116567854"/>
      <w:bookmarkStart w:id="23" w:name="_Toc116567673"/>
      <w:r>
        <w:rPr>
          <w:rFonts w:hint="eastAsia"/>
          <w:sz w:val="28"/>
          <w:szCs w:val="28"/>
        </w:rPr>
        <w:t>四、试验验证的分析、综述报告，技术经济论证，预期的经济效益、社会效益和生态效益。</w:t>
      </w:r>
      <w:bookmarkEnd w:id="22"/>
      <w:bookmarkEnd w:id="23"/>
    </w:p>
    <w:p>
      <w:pPr>
        <w:spacing w:line="360" w:lineRule="auto"/>
        <w:ind w:firstLine="480" w:firstLineChars="200"/>
        <w:rPr>
          <w:rFonts w:ascii="宋体"/>
          <w:sz w:val="24"/>
          <w:szCs w:val="20"/>
        </w:rPr>
      </w:pPr>
      <w:r>
        <w:rPr>
          <w:rFonts w:hint="eastAsia" w:ascii="宋体"/>
          <w:sz w:val="24"/>
          <w:szCs w:val="20"/>
        </w:rPr>
        <w:t>（一）试验验证的分析、综述报告</w:t>
      </w:r>
    </w:p>
    <w:p>
      <w:pPr>
        <w:spacing w:line="360" w:lineRule="auto"/>
        <w:ind w:firstLine="480" w:firstLineChars="200"/>
        <w:rPr>
          <w:rFonts w:ascii="宋体" w:hAnsi="宋体"/>
          <w:sz w:val="24"/>
        </w:rPr>
      </w:pPr>
      <w:r>
        <w:rPr>
          <w:rFonts w:hint="eastAsia" w:ascii="宋体" w:hAnsi="宋体"/>
          <w:sz w:val="24"/>
        </w:rPr>
        <w:t>起草工作组在编写技术规范过程中，主要对本技术规范的计量性能进行了验证试验。</w:t>
      </w:r>
    </w:p>
    <w:p>
      <w:pPr>
        <w:spacing w:line="360" w:lineRule="auto"/>
        <w:ind w:firstLine="480" w:firstLineChars="200"/>
        <w:rPr>
          <w:rFonts w:ascii="宋体" w:hAnsi="宋体"/>
          <w:sz w:val="24"/>
        </w:rPr>
      </w:pPr>
      <w:r>
        <w:rPr>
          <w:rFonts w:ascii="宋体" w:hAnsi="宋体"/>
          <w:sz w:val="24"/>
        </w:rPr>
        <w:t>1.</w:t>
      </w:r>
      <w:r>
        <w:rPr>
          <w:rFonts w:ascii="宋体"/>
          <w:sz w:val="24"/>
          <w:szCs w:val="20"/>
        </w:rPr>
        <w:t xml:space="preserve"> 0.1%</w:t>
      </w:r>
      <w:r>
        <w:rPr>
          <w:rFonts w:hint="eastAsia" w:ascii="宋体"/>
          <w:sz w:val="24"/>
          <w:szCs w:val="20"/>
        </w:rPr>
        <w:t>额定电流下，泄漏电流对误差的影响</w:t>
      </w:r>
      <w:r>
        <w:rPr>
          <w:rFonts w:hint="eastAsia" w:ascii="宋体" w:hAnsi="宋体"/>
          <w:sz w:val="24"/>
        </w:rPr>
        <w:t>试验验证</w:t>
      </w:r>
    </w:p>
    <w:p>
      <w:pPr>
        <w:spacing w:line="360" w:lineRule="auto"/>
        <w:ind w:firstLine="480" w:firstLineChars="200"/>
        <w:rPr>
          <w:rFonts w:ascii="宋体" w:hAnsi="宋体"/>
          <w:sz w:val="24"/>
        </w:rPr>
      </w:pPr>
      <w:r>
        <w:rPr>
          <w:rFonts w:hint="eastAsia" w:ascii="宋体" w:hAnsi="宋体"/>
          <w:sz w:val="24"/>
        </w:rPr>
        <w:t>（1）验证目的</w:t>
      </w:r>
    </w:p>
    <w:p>
      <w:pPr>
        <w:spacing w:line="360" w:lineRule="auto"/>
        <w:ind w:firstLine="480" w:firstLineChars="200"/>
        <w:rPr>
          <w:rFonts w:ascii="宋体" w:hAnsi="宋体"/>
          <w:sz w:val="24"/>
          <w:highlight w:val="none"/>
        </w:rPr>
      </w:pPr>
      <w:r>
        <w:rPr>
          <w:rFonts w:hint="eastAsia" w:ascii="宋体" w:hAnsi="宋体"/>
          <w:sz w:val="24"/>
          <w:highlight w:val="none"/>
        </w:rPr>
        <w:t>验证泄漏电流对0</w:t>
      </w:r>
      <w:r>
        <w:rPr>
          <w:rFonts w:ascii="宋体" w:hAnsi="宋体"/>
          <w:sz w:val="24"/>
          <w:highlight w:val="none"/>
        </w:rPr>
        <w:t>.1%</w:t>
      </w:r>
      <w:r>
        <w:rPr>
          <w:rFonts w:hint="eastAsia" w:ascii="宋体" w:hAnsi="宋体"/>
          <w:sz w:val="24"/>
          <w:highlight w:val="none"/>
        </w:rPr>
        <w:t>额定电流测量点误差的影响。</w:t>
      </w:r>
    </w:p>
    <w:p>
      <w:pPr>
        <w:spacing w:line="360" w:lineRule="auto"/>
        <w:ind w:firstLine="480" w:firstLineChars="200"/>
        <w:rPr>
          <w:rFonts w:ascii="宋体" w:hAnsi="宋体"/>
          <w:sz w:val="24"/>
          <w:highlight w:val="none"/>
        </w:rPr>
      </w:pPr>
      <w:r>
        <w:rPr>
          <w:rFonts w:hint="eastAsia" w:ascii="宋体" w:hAnsi="宋体"/>
          <w:sz w:val="24"/>
          <w:highlight w:val="none"/>
        </w:rPr>
        <w:t>（2）验证情况</w:t>
      </w:r>
    </w:p>
    <w:p>
      <w:pPr>
        <w:spacing w:line="360" w:lineRule="auto"/>
        <w:ind w:firstLine="480" w:firstLineChars="200"/>
        <w:rPr>
          <w:rFonts w:ascii="宋体" w:hAnsi="宋体"/>
          <w:sz w:val="24"/>
          <w:highlight w:val="none"/>
        </w:rPr>
      </w:pPr>
      <w:r>
        <w:rPr>
          <w:rFonts w:hint="eastAsia" w:ascii="宋体" w:hAnsi="宋体"/>
          <w:sz w:val="24"/>
          <w:highlight w:val="none"/>
        </w:rPr>
        <w:t>采用不同类型电流互感器进行0</w:t>
      </w:r>
      <w:r>
        <w:rPr>
          <w:rFonts w:ascii="宋体" w:hAnsi="宋体"/>
          <w:sz w:val="24"/>
          <w:highlight w:val="none"/>
        </w:rPr>
        <w:t>.1%</w:t>
      </w:r>
      <w:r>
        <w:rPr>
          <w:rFonts w:hint="eastAsia" w:ascii="宋体" w:hAnsi="宋体"/>
          <w:sz w:val="24"/>
          <w:highlight w:val="none"/>
        </w:rPr>
        <w:t>额定电流下误差试验，测量结果符合标准要求。</w:t>
      </w:r>
    </w:p>
    <w:p>
      <w:pPr>
        <w:spacing w:line="360" w:lineRule="auto"/>
        <w:ind w:firstLine="480" w:firstLineChars="200"/>
        <w:rPr>
          <w:rFonts w:ascii="宋体" w:hAnsi="宋体"/>
          <w:sz w:val="24"/>
          <w:highlight w:val="none"/>
        </w:rPr>
      </w:pPr>
      <w:r>
        <w:rPr>
          <w:rFonts w:hint="eastAsia" w:ascii="宋体" w:hAnsi="宋体"/>
          <w:sz w:val="24"/>
          <w:highlight w:val="none"/>
        </w:rPr>
        <w:t>（3）验证结论</w:t>
      </w:r>
    </w:p>
    <w:p>
      <w:pPr>
        <w:spacing w:line="360" w:lineRule="auto"/>
        <w:ind w:firstLine="480" w:firstLineChars="200"/>
        <w:rPr>
          <w:rFonts w:ascii="宋体" w:hAnsi="宋体"/>
          <w:sz w:val="24"/>
          <w:highlight w:val="none"/>
        </w:rPr>
      </w:pPr>
      <w:r>
        <w:rPr>
          <w:rFonts w:hint="eastAsia" w:ascii="宋体" w:hAnsi="宋体"/>
          <w:sz w:val="24"/>
          <w:highlight w:val="none"/>
        </w:rPr>
        <w:t>0</w:t>
      </w:r>
      <w:r>
        <w:rPr>
          <w:rFonts w:ascii="宋体" w:hAnsi="宋体"/>
          <w:sz w:val="24"/>
          <w:highlight w:val="none"/>
        </w:rPr>
        <w:t>.1%</w:t>
      </w:r>
      <w:r>
        <w:rPr>
          <w:rFonts w:hint="eastAsia" w:ascii="宋体" w:hAnsi="宋体"/>
          <w:sz w:val="24"/>
          <w:highlight w:val="none"/>
        </w:rPr>
        <w:t>额定电流测量点误差</w:t>
      </w:r>
      <w:r>
        <w:rPr>
          <w:rFonts w:hint="eastAsia" w:ascii="宋体" w:hAnsi="宋体"/>
          <w:sz w:val="24"/>
          <w:highlight w:val="none"/>
          <w:lang w:val="en-US" w:eastAsia="zh-CN"/>
        </w:rPr>
        <w:t>限值设置合理</w:t>
      </w:r>
      <w:r>
        <w:rPr>
          <w:rFonts w:hint="eastAsia" w:ascii="宋体" w:hAnsi="宋体"/>
          <w:sz w:val="24"/>
          <w:highlight w:val="none"/>
        </w:rPr>
        <w:t>。</w:t>
      </w:r>
    </w:p>
    <w:p>
      <w:pPr>
        <w:spacing w:line="360" w:lineRule="auto"/>
        <w:ind w:firstLine="480" w:firstLineChars="200"/>
        <w:rPr>
          <w:rFonts w:ascii="宋体" w:hAnsi="宋体"/>
          <w:sz w:val="24"/>
        </w:rPr>
      </w:pPr>
      <w:r>
        <w:rPr>
          <w:rFonts w:ascii="宋体" w:hAnsi="宋体"/>
          <w:sz w:val="24"/>
        </w:rPr>
        <w:t>2.</w:t>
      </w:r>
      <w:r>
        <w:rPr>
          <w:rFonts w:hint="eastAsia" w:ascii="宋体"/>
          <w:sz w:val="24"/>
          <w:szCs w:val="20"/>
        </w:rPr>
        <w:t xml:space="preserve"> 2</w:t>
      </w:r>
      <w:r>
        <w:rPr>
          <w:rFonts w:ascii="宋体"/>
          <w:sz w:val="24"/>
          <w:szCs w:val="20"/>
        </w:rPr>
        <w:t>00%</w:t>
      </w:r>
      <w:r>
        <w:rPr>
          <w:rFonts w:hint="eastAsia" w:ascii="宋体"/>
          <w:sz w:val="24"/>
          <w:szCs w:val="20"/>
        </w:rPr>
        <w:t>额定电流下温升试验</w:t>
      </w:r>
      <w:r>
        <w:rPr>
          <w:rFonts w:hint="eastAsia" w:ascii="宋体" w:hAnsi="宋体"/>
          <w:sz w:val="24"/>
        </w:rPr>
        <w:t>验证</w:t>
      </w:r>
    </w:p>
    <w:p>
      <w:pPr>
        <w:spacing w:line="360" w:lineRule="auto"/>
        <w:ind w:firstLine="480" w:firstLineChars="200"/>
        <w:rPr>
          <w:rFonts w:ascii="宋体" w:hAnsi="宋体"/>
          <w:sz w:val="24"/>
        </w:rPr>
      </w:pPr>
      <w:r>
        <w:rPr>
          <w:rFonts w:hint="eastAsia" w:ascii="宋体" w:hAnsi="宋体"/>
          <w:sz w:val="24"/>
        </w:rPr>
        <w:t>（1）验证目的</w:t>
      </w:r>
    </w:p>
    <w:p>
      <w:pPr>
        <w:spacing w:line="360" w:lineRule="auto"/>
        <w:ind w:firstLine="480" w:firstLineChars="200"/>
        <w:rPr>
          <w:rFonts w:ascii="宋体" w:hAnsi="宋体"/>
          <w:sz w:val="24"/>
        </w:rPr>
      </w:pPr>
      <w:r>
        <w:rPr>
          <w:rFonts w:hint="eastAsia" w:ascii="宋体" w:hAnsi="宋体"/>
          <w:sz w:val="24"/>
        </w:rPr>
        <w:t>验证宽量程电流互感器可以在</w:t>
      </w:r>
      <w:r>
        <w:rPr>
          <w:rFonts w:hint="eastAsia" w:ascii="宋体"/>
          <w:sz w:val="24"/>
          <w:szCs w:val="20"/>
        </w:rPr>
        <w:t>2</w:t>
      </w:r>
      <w:r>
        <w:rPr>
          <w:rFonts w:ascii="宋体"/>
          <w:sz w:val="24"/>
          <w:szCs w:val="20"/>
        </w:rPr>
        <w:t>00%</w:t>
      </w:r>
      <w:r>
        <w:rPr>
          <w:rFonts w:hint="eastAsia" w:ascii="宋体"/>
          <w:sz w:val="24"/>
          <w:szCs w:val="20"/>
        </w:rPr>
        <w:t>额定电流下进行温升试验，实际温升不超过规范技术指标要求。</w:t>
      </w:r>
    </w:p>
    <w:p>
      <w:pPr>
        <w:spacing w:line="360" w:lineRule="auto"/>
        <w:ind w:firstLine="480" w:firstLineChars="200"/>
        <w:rPr>
          <w:rFonts w:ascii="宋体" w:hAnsi="宋体"/>
          <w:sz w:val="24"/>
        </w:rPr>
      </w:pPr>
      <w:r>
        <w:rPr>
          <w:rFonts w:hint="eastAsia" w:ascii="宋体" w:hAnsi="宋体"/>
          <w:sz w:val="24"/>
        </w:rPr>
        <w:t>（2）验证情况</w:t>
      </w:r>
    </w:p>
    <w:p>
      <w:pPr>
        <w:spacing w:line="360" w:lineRule="auto"/>
        <w:ind w:firstLine="480" w:firstLineChars="200"/>
        <w:rPr>
          <w:rFonts w:ascii="宋体" w:hAnsi="宋体"/>
          <w:sz w:val="24"/>
        </w:rPr>
      </w:pPr>
      <w:r>
        <w:rPr>
          <w:rFonts w:hint="eastAsia" w:ascii="宋体" w:hAnsi="宋体"/>
          <w:sz w:val="24"/>
        </w:rPr>
        <w:t>选取不同厂商不同变比宽量程电流互感器，在</w:t>
      </w:r>
      <w:r>
        <w:rPr>
          <w:rFonts w:hint="eastAsia" w:ascii="宋体"/>
          <w:sz w:val="24"/>
          <w:szCs w:val="20"/>
        </w:rPr>
        <w:t>2</w:t>
      </w:r>
      <w:r>
        <w:rPr>
          <w:rFonts w:ascii="宋体"/>
          <w:sz w:val="24"/>
          <w:szCs w:val="20"/>
        </w:rPr>
        <w:t>00%</w:t>
      </w:r>
      <w:r>
        <w:rPr>
          <w:rFonts w:hint="eastAsia" w:ascii="宋体"/>
          <w:sz w:val="24"/>
          <w:szCs w:val="20"/>
        </w:rPr>
        <w:t>额定电流下进行温升试验，全部产品合格，确认互感器制造厂具备相应制造水平。</w:t>
      </w:r>
    </w:p>
    <w:p>
      <w:pPr>
        <w:spacing w:line="360" w:lineRule="auto"/>
        <w:ind w:firstLine="480" w:firstLineChars="200"/>
        <w:rPr>
          <w:rFonts w:ascii="宋体" w:hAnsi="宋体"/>
          <w:sz w:val="24"/>
        </w:rPr>
      </w:pPr>
      <w:r>
        <w:rPr>
          <w:rFonts w:hint="eastAsia" w:ascii="宋体" w:hAnsi="宋体"/>
          <w:sz w:val="24"/>
        </w:rPr>
        <w:t>（3）验证结论</w:t>
      </w:r>
    </w:p>
    <w:p>
      <w:pPr>
        <w:spacing w:line="360" w:lineRule="auto"/>
        <w:ind w:firstLine="480" w:firstLineChars="200"/>
        <w:rPr>
          <w:rFonts w:ascii="宋体" w:hAnsi="宋体"/>
          <w:sz w:val="24"/>
        </w:rPr>
      </w:pPr>
      <w:r>
        <w:rPr>
          <w:rFonts w:hint="eastAsia" w:ascii="宋体" w:hAnsi="宋体"/>
          <w:sz w:val="24"/>
        </w:rPr>
        <w:t>规范中对宽量程互感器的温升试验要求合理。</w:t>
      </w:r>
    </w:p>
    <w:p>
      <w:pPr>
        <w:pStyle w:val="25"/>
        <w:numPr>
          <w:ilvl w:val="0"/>
          <w:numId w:val="2"/>
        </w:numPr>
        <w:spacing w:line="360" w:lineRule="auto"/>
        <w:ind w:firstLineChars="0"/>
        <w:rPr>
          <w:rFonts w:ascii="宋体" w:hAnsi="宋体"/>
          <w:sz w:val="24"/>
        </w:rPr>
      </w:pPr>
      <w:r>
        <w:rPr>
          <w:rFonts w:hint="eastAsia" w:ascii="宋体" w:hAnsi="宋体"/>
          <w:sz w:val="24"/>
        </w:rPr>
        <w:t>全量程范围内误差试验验证</w:t>
      </w:r>
    </w:p>
    <w:p>
      <w:pPr>
        <w:spacing w:line="360" w:lineRule="auto"/>
        <w:ind w:left="480"/>
      </w:pPr>
      <w:r>
        <w:rPr>
          <w:rFonts w:hint="eastAsia" w:ascii="宋体" w:hAnsi="宋体"/>
          <w:sz w:val="24"/>
        </w:rPr>
        <w:t>（1）验证目的</w:t>
      </w:r>
    </w:p>
    <w:p>
      <w:pPr>
        <w:spacing w:line="360" w:lineRule="auto"/>
        <w:ind w:left="480"/>
        <w:rPr>
          <w:rFonts w:ascii="宋体" w:hAnsi="宋体"/>
          <w:sz w:val="24"/>
        </w:rPr>
      </w:pPr>
      <w:r>
        <w:rPr>
          <w:rFonts w:hint="eastAsia" w:ascii="宋体" w:hAnsi="宋体"/>
          <w:sz w:val="24"/>
        </w:rPr>
        <w:t>验证宽量程电流互感器全量程范围内的最大允许误差限值设置合理。</w:t>
      </w:r>
    </w:p>
    <w:p>
      <w:pPr>
        <w:spacing w:line="360" w:lineRule="auto"/>
        <w:ind w:firstLine="480" w:firstLineChars="200"/>
        <w:rPr>
          <w:rFonts w:ascii="宋体" w:hAnsi="宋体"/>
          <w:sz w:val="24"/>
        </w:rPr>
      </w:pPr>
      <w:r>
        <w:rPr>
          <w:rFonts w:hint="eastAsia" w:ascii="宋体" w:hAnsi="宋体"/>
          <w:sz w:val="24"/>
        </w:rPr>
        <w:t>（2）验证情况</w:t>
      </w:r>
    </w:p>
    <w:p>
      <w:pPr>
        <w:spacing w:line="360" w:lineRule="auto"/>
        <w:ind w:firstLine="480" w:firstLineChars="200"/>
        <w:rPr>
          <w:rFonts w:ascii="宋体" w:hAnsi="宋体"/>
          <w:sz w:val="24"/>
        </w:rPr>
      </w:pPr>
      <w:r>
        <w:rPr>
          <w:rFonts w:hint="eastAsia" w:ascii="宋体" w:hAnsi="宋体"/>
          <w:sz w:val="24"/>
        </w:rPr>
        <w:t>选取不同变比宽量程电流互感器，分别进行了（0.1%~200%）额定电流的准确度试验（试验点包括0.1%、0.5%、1%、5%、20%、100%、120%和200%）。</w:t>
      </w:r>
    </w:p>
    <w:p>
      <w:pPr>
        <w:spacing w:line="360" w:lineRule="auto"/>
        <w:ind w:firstLine="480" w:firstLineChars="200"/>
        <w:rPr>
          <w:rFonts w:ascii="宋体" w:hAnsi="宋体"/>
          <w:sz w:val="24"/>
        </w:rPr>
      </w:pPr>
      <w:r>
        <w:rPr>
          <w:rFonts w:hint="eastAsia" w:ascii="宋体" w:hAnsi="宋体"/>
          <w:sz w:val="24"/>
        </w:rPr>
        <w:t>（3）验证结论</w:t>
      </w:r>
    </w:p>
    <w:p>
      <w:pPr>
        <w:spacing w:line="360" w:lineRule="auto"/>
        <w:ind w:left="480"/>
        <w:rPr>
          <w:rFonts w:hint="eastAsia" w:ascii="宋体" w:hAnsi="宋体"/>
          <w:sz w:val="24"/>
        </w:rPr>
      </w:pPr>
      <w:r>
        <w:rPr>
          <w:rFonts w:hint="eastAsia" w:ascii="宋体" w:hAnsi="宋体"/>
          <w:sz w:val="24"/>
        </w:rPr>
        <w:t>规范中对宽量程互感器的的最大允许误差限值设置合理。</w:t>
      </w:r>
    </w:p>
    <w:p>
      <w:pPr>
        <w:spacing w:line="360" w:lineRule="auto"/>
        <w:ind w:firstLine="480" w:firstLineChars="200"/>
        <w:rPr>
          <w:rFonts w:ascii="宋体" w:hAnsi="宋体"/>
          <w:sz w:val="24"/>
        </w:rPr>
      </w:pPr>
      <w:r>
        <w:rPr>
          <w:rFonts w:hint="eastAsia" w:ascii="宋体" w:hAnsi="宋体"/>
          <w:sz w:val="24"/>
        </w:rPr>
        <w:t>试验验证综述报告，详见附件。</w:t>
      </w:r>
    </w:p>
    <w:p>
      <w:pPr>
        <w:spacing w:line="360" w:lineRule="auto"/>
        <w:ind w:firstLine="480" w:firstLineChars="200"/>
        <w:rPr>
          <w:rFonts w:ascii="宋体"/>
          <w:sz w:val="24"/>
          <w:szCs w:val="20"/>
        </w:rPr>
      </w:pPr>
      <w:bookmarkStart w:id="24" w:name="_Toc116567674"/>
      <w:bookmarkStart w:id="25" w:name="_Toc116567855"/>
      <w:r>
        <w:rPr>
          <w:rFonts w:hint="eastAsia" w:ascii="宋体"/>
          <w:sz w:val="24"/>
          <w:szCs w:val="20"/>
        </w:rPr>
        <w:t>（二）技术经济论证，预期的经济效益、社会效益和生态效益</w:t>
      </w:r>
    </w:p>
    <w:p>
      <w:pPr>
        <w:spacing w:line="360" w:lineRule="auto"/>
        <w:ind w:firstLine="480" w:firstLineChars="200"/>
        <w:rPr>
          <w:rFonts w:ascii="宋体"/>
          <w:sz w:val="24"/>
          <w:szCs w:val="20"/>
        </w:rPr>
      </w:pPr>
      <w:r>
        <w:rPr>
          <w:rFonts w:hint="eastAsia" w:ascii="宋体"/>
          <w:sz w:val="24"/>
          <w:szCs w:val="20"/>
        </w:rPr>
        <w:t>本规程有效解决</w:t>
      </w:r>
      <w:r>
        <w:rPr>
          <w:rFonts w:hint="eastAsia" w:ascii="宋体" w:hAnsi="宋体"/>
          <w:sz w:val="24"/>
        </w:rPr>
        <w:t>宽量程电流互感器型式评价难题，保障电能计量公平公正,</w:t>
      </w:r>
      <w:r>
        <w:rPr>
          <w:rFonts w:hint="eastAsia" w:ascii="宋体"/>
          <w:sz w:val="24"/>
          <w:szCs w:val="20"/>
        </w:rPr>
        <w:t xml:space="preserve"> 顺应能源互联网建设和现代工业发展，推动了行业技术进步。</w:t>
      </w:r>
    </w:p>
    <w:p>
      <w:pPr>
        <w:pStyle w:val="11"/>
        <w:spacing w:before="156" w:beforeLines="50" w:after="0" w:line="500" w:lineRule="exact"/>
        <w:ind w:firstLine="560" w:firstLineChars="200"/>
        <w:jc w:val="left"/>
        <w:rPr>
          <w:sz w:val="28"/>
          <w:szCs w:val="28"/>
        </w:rPr>
      </w:pPr>
      <w:r>
        <w:rPr>
          <w:rFonts w:hint="eastAsia"/>
          <w:sz w:val="28"/>
          <w:szCs w:val="28"/>
        </w:rPr>
        <w:t>五、与国际、国外同类标准技术内容的对比情况</w:t>
      </w:r>
      <w:bookmarkEnd w:id="24"/>
      <w:bookmarkEnd w:id="25"/>
    </w:p>
    <w:p>
      <w:pPr>
        <w:spacing w:line="360" w:lineRule="auto"/>
        <w:ind w:firstLine="480" w:firstLineChars="200"/>
        <w:rPr>
          <w:rFonts w:ascii="宋体" w:hAnsi="宋体"/>
          <w:sz w:val="24"/>
        </w:rPr>
      </w:pPr>
      <w:r>
        <w:rPr>
          <w:rFonts w:hint="eastAsia" w:ascii="宋体" w:hAnsi="宋体"/>
          <w:sz w:val="24"/>
        </w:rPr>
        <w:t>本技术规范没有采用国际标准和国外标准。</w:t>
      </w:r>
    </w:p>
    <w:p>
      <w:pPr>
        <w:spacing w:line="360" w:lineRule="auto"/>
        <w:ind w:firstLine="480" w:firstLineChars="200"/>
        <w:rPr>
          <w:rFonts w:ascii="宋体" w:hAnsi="宋体"/>
          <w:sz w:val="24"/>
        </w:rPr>
      </w:pPr>
      <w:r>
        <w:rPr>
          <w:rFonts w:hint="eastAsia" w:ascii="宋体" w:hAnsi="宋体"/>
          <w:sz w:val="24"/>
        </w:rPr>
        <w:t>本技术规范与国际、国外同类标准对比处于国际先进。在测量范围、准确度等级等方面先进于国际水平。</w:t>
      </w:r>
    </w:p>
    <w:p>
      <w:pPr>
        <w:pStyle w:val="11"/>
        <w:spacing w:before="156" w:beforeLines="50" w:after="0" w:line="500" w:lineRule="exact"/>
        <w:ind w:firstLine="560" w:firstLineChars="200"/>
        <w:jc w:val="left"/>
        <w:rPr>
          <w:sz w:val="28"/>
          <w:szCs w:val="28"/>
        </w:rPr>
      </w:pPr>
      <w:bookmarkStart w:id="26" w:name="_Toc116567675"/>
      <w:bookmarkStart w:id="27" w:name="_Toc116567856"/>
      <w:r>
        <w:rPr>
          <w:rFonts w:hint="eastAsia"/>
          <w:sz w:val="28"/>
          <w:szCs w:val="28"/>
        </w:rPr>
        <w:t>六、与</w:t>
      </w:r>
      <w:bookmarkEnd w:id="26"/>
      <w:bookmarkEnd w:id="27"/>
      <w:r>
        <w:rPr>
          <w:rFonts w:hint="eastAsia"/>
          <w:sz w:val="28"/>
          <w:szCs w:val="28"/>
        </w:rPr>
        <w:t>有关法律、行政法规及相关标准的关系。</w:t>
      </w:r>
    </w:p>
    <w:p>
      <w:pPr>
        <w:spacing w:line="360" w:lineRule="auto"/>
        <w:ind w:firstLine="480" w:firstLineChars="200"/>
        <w:rPr>
          <w:rFonts w:ascii="宋体" w:hAnsi="宋体"/>
          <w:sz w:val="24"/>
        </w:rPr>
      </w:pPr>
      <w:r>
        <w:rPr>
          <w:rFonts w:hint="eastAsia" w:ascii="宋体" w:hAnsi="宋体"/>
          <w:sz w:val="24"/>
        </w:rPr>
        <w:t>本技术规范在起草过程中主要参考和引用了以下技术文件：</w:t>
      </w:r>
    </w:p>
    <w:p>
      <w:pPr>
        <w:snapToGrid w:val="0"/>
        <w:spacing w:line="360" w:lineRule="auto"/>
        <w:ind w:firstLine="480" w:firstLineChars="200"/>
        <w:jc w:val="left"/>
        <w:rPr>
          <w:sz w:val="24"/>
          <w:szCs w:val="21"/>
        </w:rPr>
      </w:pPr>
      <w:r>
        <w:rPr>
          <w:sz w:val="24"/>
          <w:szCs w:val="21"/>
        </w:rPr>
        <w:t>JJG 169 互感器校验仪</w:t>
      </w:r>
    </w:p>
    <w:p>
      <w:pPr>
        <w:snapToGrid w:val="0"/>
        <w:spacing w:line="360" w:lineRule="auto"/>
        <w:ind w:firstLine="480" w:firstLineChars="200"/>
        <w:jc w:val="left"/>
        <w:rPr>
          <w:sz w:val="24"/>
          <w:szCs w:val="21"/>
        </w:rPr>
      </w:pPr>
      <w:r>
        <w:rPr>
          <w:sz w:val="24"/>
          <w:szCs w:val="21"/>
        </w:rPr>
        <w:t>JJG 1189.3 测量用互感器</w:t>
      </w:r>
      <w:r>
        <w:rPr>
          <w:rFonts w:hint="eastAsia"/>
          <w:sz w:val="24"/>
          <w:szCs w:val="21"/>
        </w:rPr>
        <w:t xml:space="preserve"> 第3部分：电力电流互感器</w:t>
      </w:r>
    </w:p>
    <w:p>
      <w:pPr>
        <w:snapToGrid w:val="0"/>
        <w:spacing w:line="360" w:lineRule="auto"/>
        <w:ind w:firstLine="480" w:firstLineChars="200"/>
        <w:rPr>
          <w:sz w:val="24"/>
          <w:szCs w:val="21"/>
        </w:rPr>
      </w:pPr>
      <w:r>
        <w:rPr>
          <w:sz w:val="24"/>
          <w:szCs w:val="21"/>
        </w:rPr>
        <w:t>GB/T 156 标准电压</w:t>
      </w:r>
    </w:p>
    <w:p>
      <w:pPr>
        <w:snapToGrid w:val="0"/>
        <w:spacing w:line="360" w:lineRule="auto"/>
        <w:ind w:firstLine="480" w:firstLineChars="200"/>
        <w:rPr>
          <w:sz w:val="24"/>
          <w:szCs w:val="21"/>
        </w:rPr>
      </w:pPr>
      <w:r>
        <w:rPr>
          <w:sz w:val="24"/>
          <w:szCs w:val="21"/>
        </w:rPr>
        <w:t>GB/T 311.1 绝缘配合</w:t>
      </w:r>
      <w:r>
        <w:rPr>
          <w:rFonts w:hint="eastAsia"/>
          <w:sz w:val="24"/>
          <w:szCs w:val="21"/>
        </w:rPr>
        <w:t xml:space="preserve"> </w:t>
      </w:r>
      <w:r>
        <w:rPr>
          <w:sz w:val="24"/>
          <w:szCs w:val="21"/>
        </w:rPr>
        <w:t>第1部分：定义、原则和规则</w:t>
      </w:r>
    </w:p>
    <w:p>
      <w:pPr>
        <w:snapToGrid w:val="0"/>
        <w:spacing w:line="360" w:lineRule="auto"/>
        <w:ind w:firstLine="480" w:firstLineChars="200"/>
        <w:rPr>
          <w:sz w:val="24"/>
          <w:szCs w:val="21"/>
        </w:rPr>
      </w:pPr>
      <w:r>
        <w:rPr>
          <w:sz w:val="24"/>
          <w:szCs w:val="21"/>
        </w:rPr>
        <w:t>GB/T 4208 外壳防护等级（IP代码）</w:t>
      </w:r>
    </w:p>
    <w:p>
      <w:pPr>
        <w:snapToGrid w:val="0"/>
        <w:spacing w:line="360" w:lineRule="auto"/>
        <w:ind w:firstLine="480" w:firstLineChars="200"/>
        <w:rPr>
          <w:sz w:val="24"/>
          <w:szCs w:val="21"/>
        </w:rPr>
      </w:pPr>
      <w:r>
        <w:rPr>
          <w:sz w:val="24"/>
          <w:szCs w:val="21"/>
        </w:rPr>
        <w:t>GB/T 5585.1 电工用铜、铝及其合金母线</w:t>
      </w:r>
      <w:r>
        <w:rPr>
          <w:rFonts w:hint="eastAsia"/>
          <w:sz w:val="24"/>
          <w:szCs w:val="21"/>
        </w:rPr>
        <w:t xml:space="preserve"> </w:t>
      </w:r>
      <w:r>
        <w:rPr>
          <w:sz w:val="24"/>
          <w:szCs w:val="21"/>
        </w:rPr>
        <w:t>第1部分：铜和铜合金母线</w:t>
      </w:r>
    </w:p>
    <w:p>
      <w:pPr>
        <w:snapToGrid w:val="0"/>
        <w:spacing w:line="360" w:lineRule="auto"/>
        <w:ind w:firstLine="480" w:firstLineChars="200"/>
        <w:rPr>
          <w:sz w:val="24"/>
          <w:szCs w:val="21"/>
        </w:rPr>
      </w:pPr>
      <w:r>
        <w:rPr>
          <w:sz w:val="24"/>
          <w:szCs w:val="21"/>
        </w:rPr>
        <w:t>GB/T 7354 局部放电测量</w:t>
      </w:r>
    </w:p>
    <w:p>
      <w:pPr>
        <w:snapToGrid w:val="0"/>
        <w:spacing w:line="360" w:lineRule="auto"/>
        <w:ind w:firstLine="480" w:firstLineChars="200"/>
        <w:rPr>
          <w:sz w:val="24"/>
          <w:szCs w:val="21"/>
        </w:rPr>
      </w:pPr>
      <w:r>
        <w:rPr>
          <w:sz w:val="24"/>
          <w:szCs w:val="21"/>
        </w:rPr>
        <w:t>GB/T 16927.1高电压试验技术</w:t>
      </w:r>
      <w:r>
        <w:rPr>
          <w:rFonts w:hint="eastAsia"/>
          <w:sz w:val="24"/>
          <w:szCs w:val="21"/>
        </w:rPr>
        <w:t xml:space="preserve"> </w:t>
      </w:r>
      <w:r>
        <w:rPr>
          <w:sz w:val="24"/>
          <w:szCs w:val="21"/>
        </w:rPr>
        <w:t>第1部分：一般定义及试验要求</w:t>
      </w:r>
    </w:p>
    <w:p>
      <w:pPr>
        <w:snapToGrid w:val="0"/>
        <w:spacing w:line="360" w:lineRule="auto"/>
        <w:ind w:firstLine="480" w:firstLineChars="200"/>
        <w:rPr>
          <w:sz w:val="24"/>
          <w:szCs w:val="21"/>
        </w:rPr>
      </w:pPr>
      <w:r>
        <w:rPr>
          <w:sz w:val="24"/>
          <w:szCs w:val="21"/>
        </w:rPr>
        <w:t>GB/T 16927.2 高电压试验技术</w:t>
      </w:r>
      <w:r>
        <w:rPr>
          <w:rFonts w:hint="eastAsia"/>
          <w:sz w:val="24"/>
          <w:szCs w:val="21"/>
        </w:rPr>
        <w:t xml:space="preserve"> </w:t>
      </w:r>
      <w:r>
        <w:rPr>
          <w:sz w:val="24"/>
          <w:szCs w:val="21"/>
        </w:rPr>
        <w:t>第2部分：测量系统</w:t>
      </w:r>
    </w:p>
    <w:p>
      <w:pPr>
        <w:snapToGrid w:val="0"/>
        <w:spacing w:line="360" w:lineRule="auto"/>
        <w:ind w:firstLine="480" w:firstLineChars="200"/>
        <w:rPr>
          <w:sz w:val="24"/>
          <w:szCs w:val="21"/>
        </w:rPr>
      </w:pPr>
      <w:r>
        <w:rPr>
          <w:sz w:val="24"/>
          <w:szCs w:val="21"/>
        </w:rPr>
        <w:t>GB/T 20138 电器设备外壳对外界机械碰撞的防护等级（IK代码）</w:t>
      </w:r>
    </w:p>
    <w:p>
      <w:pPr>
        <w:snapToGrid w:val="0"/>
        <w:spacing w:line="360" w:lineRule="auto"/>
        <w:ind w:firstLine="480" w:firstLineChars="200"/>
        <w:rPr>
          <w:sz w:val="24"/>
          <w:szCs w:val="21"/>
        </w:rPr>
      </w:pPr>
      <w:r>
        <w:rPr>
          <w:sz w:val="24"/>
          <w:szCs w:val="21"/>
        </w:rPr>
        <w:t>GB/T 20840.1</w:t>
      </w:r>
      <w:r>
        <w:rPr>
          <w:rFonts w:hint="eastAsia"/>
          <w:sz w:val="24"/>
          <w:szCs w:val="21"/>
        </w:rPr>
        <w:t>—</w:t>
      </w:r>
      <w:r>
        <w:rPr>
          <w:sz w:val="24"/>
          <w:szCs w:val="21"/>
        </w:rPr>
        <w:t>2010 互感器</w:t>
      </w:r>
      <w:r>
        <w:rPr>
          <w:rFonts w:hint="eastAsia"/>
          <w:sz w:val="24"/>
          <w:szCs w:val="21"/>
        </w:rPr>
        <w:t xml:space="preserve"> </w:t>
      </w:r>
      <w:r>
        <w:rPr>
          <w:sz w:val="24"/>
          <w:szCs w:val="21"/>
        </w:rPr>
        <w:t>第1部分：通用技术要求</w:t>
      </w:r>
    </w:p>
    <w:p>
      <w:pPr>
        <w:snapToGrid w:val="0"/>
        <w:spacing w:line="360" w:lineRule="auto"/>
        <w:ind w:firstLine="480" w:firstLineChars="200"/>
        <w:rPr>
          <w:sz w:val="24"/>
          <w:szCs w:val="21"/>
        </w:rPr>
      </w:pPr>
      <w:r>
        <w:rPr>
          <w:sz w:val="24"/>
          <w:szCs w:val="21"/>
        </w:rPr>
        <w:t>GB/T 20840.2</w:t>
      </w:r>
      <w:r>
        <w:rPr>
          <w:rFonts w:hint="eastAsia"/>
          <w:sz w:val="24"/>
          <w:szCs w:val="21"/>
        </w:rPr>
        <w:t>—</w:t>
      </w:r>
      <w:r>
        <w:rPr>
          <w:sz w:val="24"/>
          <w:szCs w:val="21"/>
        </w:rPr>
        <w:t>2014 互感器</w:t>
      </w:r>
      <w:r>
        <w:rPr>
          <w:rFonts w:hint="eastAsia"/>
          <w:sz w:val="24"/>
          <w:szCs w:val="21"/>
        </w:rPr>
        <w:t xml:space="preserve"> </w:t>
      </w:r>
      <w:r>
        <w:rPr>
          <w:sz w:val="24"/>
          <w:szCs w:val="21"/>
        </w:rPr>
        <w:t>第2部分：电流互感器的补充技术要求</w:t>
      </w:r>
    </w:p>
    <w:p>
      <w:pPr>
        <w:spacing w:line="360" w:lineRule="auto"/>
        <w:ind w:firstLine="480" w:firstLineChars="200"/>
        <w:rPr>
          <w:rFonts w:ascii="宋体" w:hAnsi="宋体"/>
          <w:sz w:val="24"/>
        </w:rPr>
      </w:pPr>
      <w:r>
        <w:rPr>
          <w:rFonts w:ascii="宋体" w:hAnsi="宋体"/>
          <w:sz w:val="24"/>
        </w:rPr>
        <w:t>本</w:t>
      </w:r>
      <w:r>
        <w:rPr>
          <w:rFonts w:hint="eastAsia" w:ascii="宋体" w:hAnsi="宋体"/>
          <w:sz w:val="24"/>
        </w:rPr>
        <w:t>技术规范</w:t>
      </w:r>
      <w:r>
        <w:rPr>
          <w:rFonts w:ascii="宋体" w:hAnsi="宋体"/>
          <w:sz w:val="24"/>
        </w:rPr>
        <w:t>在</w:t>
      </w:r>
      <w:r>
        <w:rPr>
          <w:rFonts w:hint="eastAsia" w:ascii="宋体" w:hAnsi="宋体"/>
          <w:sz w:val="24"/>
        </w:rPr>
        <w:t>法制管理要求、通用技术要求、型式评价项目、试验项目的试验方法等方面与同类国家标准</w:t>
      </w:r>
      <w:r>
        <w:rPr>
          <w:rFonts w:hint="eastAsia" w:ascii="宋体"/>
          <w:sz w:val="24"/>
          <w:szCs w:val="20"/>
        </w:rPr>
        <w:t>JJ</w:t>
      </w:r>
      <w:r>
        <w:rPr>
          <w:rFonts w:ascii="宋体"/>
          <w:sz w:val="24"/>
          <w:szCs w:val="20"/>
        </w:rPr>
        <w:t>F</w:t>
      </w:r>
      <w:r>
        <w:rPr>
          <w:rFonts w:hint="eastAsia" w:ascii="宋体"/>
          <w:sz w:val="24"/>
          <w:szCs w:val="20"/>
        </w:rPr>
        <w:t xml:space="preserve"> </w:t>
      </w:r>
      <w:r>
        <w:rPr>
          <w:rFonts w:ascii="宋体"/>
          <w:sz w:val="24"/>
          <w:szCs w:val="20"/>
        </w:rPr>
        <w:t>1701.4</w:t>
      </w:r>
      <w:r>
        <w:rPr>
          <w:rFonts w:hint="eastAsia" w:ascii="宋体"/>
          <w:sz w:val="24"/>
          <w:szCs w:val="20"/>
        </w:rPr>
        <w:t>《测量用互感器型式评价大纲 第</w:t>
      </w:r>
      <w:r>
        <w:rPr>
          <w:rFonts w:ascii="宋体"/>
          <w:sz w:val="24"/>
          <w:szCs w:val="20"/>
        </w:rPr>
        <w:t>4</w:t>
      </w:r>
      <w:r>
        <w:rPr>
          <w:rFonts w:hint="eastAsia" w:ascii="宋体"/>
          <w:sz w:val="24"/>
          <w:szCs w:val="20"/>
        </w:rPr>
        <w:t>部分：电流互感器》</w:t>
      </w:r>
      <w:r>
        <w:rPr>
          <w:rFonts w:hint="eastAsia" w:ascii="宋体" w:hAnsi="宋体"/>
          <w:sz w:val="24"/>
        </w:rPr>
        <w:t>一致，在测量范围、准确度等级严于国标。</w:t>
      </w:r>
    </w:p>
    <w:p>
      <w:pPr>
        <w:spacing w:line="360" w:lineRule="auto"/>
        <w:ind w:firstLine="480" w:firstLineChars="200"/>
        <w:rPr>
          <w:rFonts w:ascii="宋体" w:hAnsi="宋体"/>
          <w:sz w:val="24"/>
        </w:rPr>
      </w:pPr>
      <w:r>
        <w:rPr>
          <w:rFonts w:hint="eastAsia" w:ascii="宋体" w:hAnsi="宋体"/>
          <w:sz w:val="24"/>
        </w:rPr>
        <w:t>具体比国标更加严格和细化的内容为：</w:t>
      </w:r>
    </w:p>
    <w:p>
      <w:pPr>
        <w:spacing w:line="360" w:lineRule="auto"/>
        <w:ind w:firstLine="480" w:firstLineChars="200"/>
        <w:rPr>
          <w:rFonts w:ascii="宋体" w:hAnsi="宋体"/>
          <w:sz w:val="24"/>
        </w:rPr>
      </w:pPr>
      <w:r>
        <w:rPr>
          <w:rFonts w:hint="eastAsia" w:ascii="宋体" w:hAnsi="宋体"/>
          <w:sz w:val="24"/>
        </w:rPr>
        <w:t>（1）在测量范围严于</w:t>
      </w:r>
      <w:r>
        <w:rPr>
          <w:rFonts w:hint="eastAsia" w:ascii="宋体"/>
          <w:sz w:val="24"/>
          <w:szCs w:val="20"/>
        </w:rPr>
        <w:t>JJ</w:t>
      </w:r>
      <w:r>
        <w:rPr>
          <w:rFonts w:ascii="宋体"/>
          <w:sz w:val="24"/>
          <w:szCs w:val="20"/>
        </w:rPr>
        <w:t>F</w:t>
      </w:r>
      <w:r>
        <w:rPr>
          <w:rFonts w:hint="eastAsia" w:ascii="宋体"/>
          <w:sz w:val="24"/>
          <w:szCs w:val="20"/>
        </w:rPr>
        <w:t xml:space="preserve"> </w:t>
      </w:r>
      <w:r>
        <w:rPr>
          <w:rFonts w:ascii="宋体"/>
          <w:sz w:val="24"/>
          <w:szCs w:val="20"/>
        </w:rPr>
        <w:t>1701.4</w:t>
      </w:r>
      <w:r>
        <w:rPr>
          <w:rFonts w:hint="eastAsia" w:ascii="宋体"/>
          <w:sz w:val="24"/>
          <w:szCs w:val="20"/>
        </w:rPr>
        <w:t>《测量用互感器型式评价大纲 第</w:t>
      </w:r>
      <w:r>
        <w:rPr>
          <w:rFonts w:ascii="宋体"/>
          <w:sz w:val="24"/>
          <w:szCs w:val="20"/>
        </w:rPr>
        <w:t>4</w:t>
      </w:r>
      <w:r>
        <w:rPr>
          <w:rFonts w:hint="eastAsia" w:ascii="宋体"/>
          <w:sz w:val="24"/>
          <w:szCs w:val="20"/>
        </w:rPr>
        <w:t>部分：电流互感器》。</w:t>
      </w:r>
      <w:r>
        <w:rPr>
          <w:rFonts w:hint="eastAsia" w:ascii="宋体" w:hAnsi="宋体"/>
          <w:sz w:val="24"/>
        </w:rPr>
        <w:t>本技术规范内容为：宽量程电流互感器测量范围为（0</w:t>
      </w:r>
      <w:r>
        <w:rPr>
          <w:rFonts w:ascii="宋体" w:hAnsi="宋体"/>
          <w:sz w:val="24"/>
        </w:rPr>
        <w:t>.1%~200%</w:t>
      </w:r>
      <w:r>
        <w:rPr>
          <w:rFonts w:hint="eastAsia" w:ascii="宋体" w:hAnsi="宋体"/>
          <w:sz w:val="24"/>
        </w:rPr>
        <w:t>）额定电流，</w:t>
      </w:r>
      <w:r>
        <w:rPr>
          <w:rFonts w:hint="eastAsia" w:ascii="宋体"/>
          <w:sz w:val="24"/>
          <w:szCs w:val="20"/>
        </w:rPr>
        <w:t>JJ</w:t>
      </w:r>
      <w:r>
        <w:rPr>
          <w:rFonts w:ascii="宋体"/>
          <w:sz w:val="24"/>
          <w:szCs w:val="20"/>
        </w:rPr>
        <w:t>F</w:t>
      </w:r>
      <w:r>
        <w:rPr>
          <w:rFonts w:hint="eastAsia" w:ascii="宋体"/>
          <w:sz w:val="24"/>
          <w:szCs w:val="20"/>
        </w:rPr>
        <w:t xml:space="preserve"> </w:t>
      </w:r>
      <w:r>
        <w:rPr>
          <w:rFonts w:ascii="宋体"/>
          <w:sz w:val="24"/>
          <w:szCs w:val="20"/>
        </w:rPr>
        <w:t>1701.4</w:t>
      </w:r>
      <w:r>
        <w:rPr>
          <w:rFonts w:hint="eastAsia" w:ascii="宋体" w:hAnsi="宋体"/>
          <w:sz w:val="24"/>
        </w:rPr>
        <w:t>的内容为：电流互感器准确度级别带S的互感器测量范围为（</w:t>
      </w:r>
      <w:r>
        <w:rPr>
          <w:rFonts w:ascii="宋体" w:hAnsi="宋体"/>
          <w:sz w:val="24"/>
        </w:rPr>
        <w:t>1%~120%</w:t>
      </w:r>
      <w:r>
        <w:rPr>
          <w:rFonts w:hint="eastAsia" w:ascii="宋体" w:hAnsi="宋体"/>
          <w:sz w:val="24"/>
        </w:rPr>
        <w:t>）额定电流，准确度级别不带S的互感器测量范围为（</w:t>
      </w:r>
      <w:r>
        <w:rPr>
          <w:rFonts w:ascii="宋体" w:hAnsi="宋体"/>
          <w:sz w:val="24"/>
        </w:rPr>
        <w:t>5%~120%</w:t>
      </w:r>
      <w:r>
        <w:rPr>
          <w:rFonts w:hint="eastAsia" w:ascii="宋体" w:hAnsi="宋体"/>
          <w:sz w:val="24"/>
        </w:rPr>
        <w:t>）额定电流。</w:t>
      </w:r>
    </w:p>
    <w:p>
      <w:pPr>
        <w:spacing w:line="360" w:lineRule="auto"/>
        <w:ind w:firstLine="480" w:firstLineChars="200"/>
        <w:rPr>
          <w:rFonts w:ascii="宋体" w:hAnsi="宋体"/>
          <w:sz w:val="24"/>
        </w:rPr>
      </w:pPr>
      <w:r>
        <w:rPr>
          <w:rFonts w:hint="eastAsia" w:ascii="宋体" w:hAnsi="宋体"/>
          <w:sz w:val="24"/>
        </w:rPr>
        <w:t>（</w:t>
      </w:r>
      <w:r>
        <w:rPr>
          <w:rFonts w:ascii="宋体" w:hAnsi="宋体"/>
          <w:sz w:val="24"/>
        </w:rPr>
        <w:t>2</w:t>
      </w:r>
      <w:r>
        <w:rPr>
          <w:rFonts w:hint="eastAsia" w:ascii="宋体" w:hAnsi="宋体"/>
          <w:sz w:val="24"/>
        </w:rPr>
        <w:t>）在准确度等级严于</w:t>
      </w:r>
      <w:r>
        <w:rPr>
          <w:rFonts w:hint="eastAsia" w:ascii="宋体"/>
          <w:sz w:val="24"/>
          <w:szCs w:val="20"/>
        </w:rPr>
        <w:t>JJ</w:t>
      </w:r>
      <w:r>
        <w:rPr>
          <w:rFonts w:ascii="宋体"/>
          <w:sz w:val="24"/>
          <w:szCs w:val="20"/>
        </w:rPr>
        <w:t>F</w:t>
      </w:r>
      <w:r>
        <w:rPr>
          <w:rFonts w:hint="eastAsia" w:ascii="宋体"/>
          <w:sz w:val="24"/>
          <w:szCs w:val="20"/>
        </w:rPr>
        <w:t xml:space="preserve"> </w:t>
      </w:r>
      <w:r>
        <w:rPr>
          <w:rFonts w:ascii="宋体"/>
          <w:sz w:val="24"/>
          <w:szCs w:val="20"/>
        </w:rPr>
        <w:t>1701.4</w:t>
      </w:r>
      <w:r>
        <w:rPr>
          <w:rFonts w:hint="eastAsia" w:ascii="宋体"/>
          <w:sz w:val="24"/>
          <w:szCs w:val="20"/>
        </w:rPr>
        <w:t>《测量用互感器型式评价大纲 第</w:t>
      </w:r>
      <w:r>
        <w:rPr>
          <w:rFonts w:ascii="宋体"/>
          <w:sz w:val="24"/>
          <w:szCs w:val="20"/>
        </w:rPr>
        <w:t>4</w:t>
      </w:r>
      <w:r>
        <w:rPr>
          <w:rFonts w:hint="eastAsia" w:ascii="宋体"/>
          <w:sz w:val="24"/>
          <w:szCs w:val="20"/>
        </w:rPr>
        <w:t>部分：电流互感器》</w:t>
      </w:r>
      <w:r>
        <w:rPr>
          <w:rFonts w:hint="eastAsia" w:ascii="宋体" w:hAnsi="宋体"/>
          <w:sz w:val="24"/>
        </w:rPr>
        <w:t>。本技术规范内容为：宽量程电流互感器的准确度等级分为0.2SS级和0.5SS级，</w:t>
      </w:r>
      <w:r>
        <w:rPr>
          <w:rFonts w:hint="eastAsia" w:ascii="宋体"/>
          <w:sz w:val="24"/>
          <w:szCs w:val="20"/>
        </w:rPr>
        <w:t>JJ</w:t>
      </w:r>
      <w:r>
        <w:rPr>
          <w:rFonts w:ascii="宋体"/>
          <w:sz w:val="24"/>
          <w:szCs w:val="20"/>
        </w:rPr>
        <w:t>F</w:t>
      </w:r>
      <w:r>
        <w:rPr>
          <w:rFonts w:hint="eastAsia" w:ascii="宋体"/>
          <w:sz w:val="24"/>
          <w:szCs w:val="20"/>
        </w:rPr>
        <w:t xml:space="preserve"> </w:t>
      </w:r>
      <w:r>
        <w:rPr>
          <w:rFonts w:ascii="宋体"/>
          <w:sz w:val="24"/>
          <w:szCs w:val="20"/>
        </w:rPr>
        <w:t>1701.4</w:t>
      </w:r>
      <w:r>
        <w:rPr>
          <w:rFonts w:hint="eastAsia" w:ascii="宋体" w:hAnsi="宋体"/>
          <w:sz w:val="24"/>
        </w:rPr>
        <w:t>的内容为：电流互感器的准确度等级分为0.</w:t>
      </w:r>
      <w:r>
        <w:rPr>
          <w:rFonts w:ascii="宋体" w:hAnsi="宋体"/>
          <w:sz w:val="24"/>
        </w:rPr>
        <w:t>1</w:t>
      </w:r>
      <w:r>
        <w:rPr>
          <w:rFonts w:hint="eastAsia" w:ascii="宋体" w:hAnsi="宋体"/>
          <w:sz w:val="24"/>
        </w:rPr>
        <w:t>S级、0</w:t>
      </w:r>
      <w:r>
        <w:rPr>
          <w:rFonts w:ascii="宋体" w:hAnsi="宋体"/>
          <w:sz w:val="24"/>
        </w:rPr>
        <w:t>.1</w:t>
      </w:r>
      <w:r>
        <w:rPr>
          <w:rFonts w:hint="eastAsia" w:ascii="宋体" w:hAnsi="宋体"/>
          <w:sz w:val="24"/>
        </w:rPr>
        <w:t>级、0</w:t>
      </w:r>
      <w:r>
        <w:rPr>
          <w:rFonts w:ascii="宋体" w:hAnsi="宋体"/>
          <w:sz w:val="24"/>
        </w:rPr>
        <w:t>.2S</w:t>
      </w:r>
      <w:r>
        <w:rPr>
          <w:rFonts w:hint="eastAsia" w:ascii="宋体" w:hAnsi="宋体"/>
          <w:sz w:val="24"/>
        </w:rPr>
        <w:t>级、0</w:t>
      </w:r>
      <w:r>
        <w:rPr>
          <w:rFonts w:ascii="宋体" w:hAnsi="宋体"/>
          <w:sz w:val="24"/>
        </w:rPr>
        <w:t>.2</w:t>
      </w:r>
      <w:r>
        <w:rPr>
          <w:rFonts w:hint="eastAsia" w:ascii="宋体" w:hAnsi="宋体"/>
          <w:sz w:val="24"/>
        </w:rPr>
        <w:t>级、0</w:t>
      </w:r>
      <w:r>
        <w:rPr>
          <w:rFonts w:ascii="宋体" w:hAnsi="宋体"/>
          <w:sz w:val="24"/>
        </w:rPr>
        <w:t>.5S</w:t>
      </w:r>
      <w:r>
        <w:rPr>
          <w:rFonts w:hint="eastAsia" w:ascii="宋体" w:hAnsi="宋体"/>
          <w:sz w:val="24"/>
        </w:rPr>
        <w:t>级、0</w:t>
      </w:r>
      <w:r>
        <w:rPr>
          <w:rFonts w:ascii="宋体" w:hAnsi="宋体"/>
          <w:sz w:val="24"/>
        </w:rPr>
        <w:t>.5</w:t>
      </w:r>
      <w:r>
        <w:rPr>
          <w:rFonts w:hint="eastAsia" w:ascii="宋体" w:hAnsi="宋体"/>
          <w:sz w:val="24"/>
        </w:rPr>
        <w:t>级、1级。</w:t>
      </w:r>
    </w:p>
    <w:p>
      <w:pPr>
        <w:spacing w:line="360" w:lineRule="auto"/>
        <w:ind w:left="480"/>
        <w:rPr>
          <w:rFonts w:ascii="宋体" w:hAnsi="宋体"/>
          <w:sz w:val="24"/>
        </w:rPr>
      </w:pPr>
      <w:r>
        <w:rPr>
          <w:rFonts w:hint="eastAsia" w:ascii="宋体" w:hAnsi="宋体"/>
          <w:sz w:val="24"/>
        </w:rPr>
        <w:t>严格的理由为：</w:t>
      </w:r>
    </w:p>
    <w:p>
      <w:pPr>
        <w:spacing w:line="360" w:lineRule="auto"/>
        <w:ind w:firstLine="480" w:firstLineChars="200"/>
        <w:rPr>
          <w:rFonts w:ascii="宋体" w:hAnsi="宋体"/>
          <w:sz w:val="24"/>
        </w:rPr>
      </w:pPr>
      <w:r>
        <w:rPr>
          <w:rFonts w:hint="eastAsia" w:ascii="宋体"/>
          <w:sz w:val="24"/>
          <w:szCs w:val="20"/>
        </w:rPr>
        <w:t>现有电流互感器相关型式评价大纲主要针对测量范围为（1%~120%）额定电流的电流互感器，无法满足宽量程电流互感器的型式评价需求。为满足电能精准计量需求，实现对具有更大量程范围、更高准确度的电流互感器的型式评价，故制定更严格技术指标。</w:t>
      </w:r>
    </w:p>
    <w:p>
      <w:pPr>
        <w:pStyle w:val="11"/>
        <w:spacing w:before="156" w:beforeLines="50" w:after="0" w:line="500" w:lineRule="exact"/>
        <w:ind w:firstLine="560" w:firstLineChars="200"/>
        <w:jc w:val="left"/>
        <w:rPr>
          <w:sz w:val="28"/>
          <w:szCs w:val="28"/>
        </w:rPr>
      </w:pPr>
      <w:bookmarkStart w:id="28" w:name="_Toc116567676"/>
      <w:bookmarkStart w:id="29" w:name="_Toc116567857"/>
      <w:r>
        <w:rPr>
          <w:rFonts w:hint="eastAsia"/>
          <w:sz w:val="28"/>
          <w:szCs w:val="28"/>
        </w:rPr>
        <w:t>七、重大分歧意见的处理经过和依据。</w:t>
      </w:r>
      <w:bookmarkEnd w:id="28"/>
      <w:bookmarkEnd w:id="29"/>
    </w:p>
    <w:p>
      <w:pPr>
        <w:spacing w:line="360" w:lineRule="auto"/>
        <w:ind w:firstLine="480" w:firstLineChars="200"/>
        <w:rPr>
          <w:rFonts w:ascii="宋体" w:hAnsi="宋体"/>
          <w:sz w:val="24"/>
        </w:rPr>
      </w:pPr>
      <w:r>
        <w:rPr>
          <w:rFonts w:hint="eastAsia" w:ascii="宋体" w:hAnsi="宋体"/>
          <w:sz w:val="24"/>
        </w:rPr>
        <w:t>（一）起草工作组内部分歧意见的处理经过和依据。</w:t>
      </w:r>
    </w:p>
    <w:p>
      <w:pPr>
        <w:spacing w:line="360" w:lineRule="auto"/>
        <w:ind w:firstLine="480" w:firstLineChars="200"/>
        <w:rPr>
          <w:rFonts w:ascii="宋体" w:hAnsi="宋体"/>
          <w:sz w:val="24"/>
        </w:rPr>
      </w:pPr>
      <w:r>
        <w:rPr>
          <w:rFonts w:hint="eastAsia" w:ascii="宋体" w:hAnsi="宋体"/>
          <w:sz w:val="24"/>
        </w:rPr>
        <w:t>无。</w:t>
      </w:r>
    </w:p>
    <w:p>
      <w:pPr>
        <w:spacing w:line="360" w:lineRule="auto"/>
        <w:ind w:firstLine="480" w:firstLineChars="200"/>
        <w:rPr>
          <w:rFonts w:ascii="宋体"/>
          <w:sz w:val="24"/>
          <w:szCs w:val="20"/>
        </w:rPr>
      </w:pPr>
      <w:r>
        <w:rPr>
          <w:rFonts w:hint="eastAsia" w:ascii="宋体"/>
          <w:sz w:val="24"/>
          <w:szCs w:val="20"/>
        </w:rPr>
        <w:t>（二）评审过程的分歧意见处理经过和依据。</w:t>
      </w:r>
    </w:p>
    <w:p>
      <w:pPr>
        <w:spacing w:line="360" w:lineRule="auto"/>
        <w:ind w:left="480"/>
        <w:rPr>
          <w:rFonts w:ascii="宋体" w:hAnsi="宋体"/>
          <w:sz w:val="24"/>
        </w:rPr>
      </w:pPr>
      <w:r>
        <w:rPr>
          <w:rFonts w:hint="eastAsia" w:ascii="宋体" w:hAnsi="宋体"/>
          <w:sz w:val="24"/>
        </w:rPr>
        <w:t>无。</w:t>
      </w:r>
    </w:p>
    <w:p>
      <w:pPr>
        <w:pStyle w:val="11"/>
        <w:spacing w:before="156" w:beforeLines="50" w:after="0" w:line="500" w:lineRule="exact"/>
        <w:ind w:firstLine="560" w:firstLineChars="200"/>
        <w:jc w:val="left"/>
        <w:rPr>
          <w:sz w:val="28"/>
          <w:szCs w:val="28"/>
        </w:rPr>
      </w:pPr>
      <w:bookmarkStart w:id="30" w:name="_Toc116567858"/>
      <w:bookmarkStart w:id="31" w:name="_Toc116567677"/>
      <w:r>
        <w:rPr>
          <w:rFonts w:hint="eastAsia"/>
          <w:sz w:val="28"/>
          <w:szCs w:val="28"/>
        </w:rPr>
        <w:t>八、涉及专利的说明。</w:t>
      </w:r>
      <w:bookmarkEnd w:id="30"/>
      <w:bookmarkEnd w:id="31"/>
    </w:p>
    <w:p>
      <w:pPr>
        <w:spacing w:line="360" w:lineRule="auto"/>
        <w:ind w:firstLine="480" w:firstLineChars="200"/>
        <w:rPr>
          <w:rFonts w:ascii="宋体"/>
          <w:sz w:val="24"/>
          <w:szCs w:val="20"/>
        </w:rPr>
      </w:pPr>
      <w:r>
        <w:rPr>
          <w:rFonts w:hint="eastAsia" w:ascii="宋体"/>
          <w:sz w:val="24"/>
          <w:szCs w:val="20"/>
        </w:rPr>
        <w:t>本技术规范未涉及相关专利。</w:t>
      </w:r>
    </w:p>
    <w:p>
      <w:pPr>
        <w:pStyle w:val="11"/>
        <w:spacing w:before="156" w:beforeLines="50" w:after="0" w:line="500" w:lineRule="exact"/>
        <w:ind w:firstLine="560" w:firstLineChars="200"/>
        <w:jc w:val="left"/>
        <w:rPr>
          <w:sz w:val="28"/>
          <w:szCs w:val="28"/>
        </w:rPr>
      </w:pPr>
      <w:bookmarkStart w:id="32" w:name="_Toc116567859"/>
      <w:bookmarkStart w:id="33" w:name="_Toc116567678"/>
      <w:r>
        <w:rPr>
          <w:rFonts w:hint="eastAsia"/>
          <w:sz w:val="28"/>
          <w:szCs w:val="28"/>
        </w:rPr>
        <w:t>九、实施国家计量技术规范的要求，以及组织措施、技术措施、过渡期和实施日期的建议等措施建议。</w:t>
      </w:r>
      <w:bookmarkEnd w:id="32"/>
      <w:bookmarkEnd w:id="33"/>
    </w:p>
    <w:p>
      <w:pPr>
        <w:pStyle w:val="11"/>
        <w:spacing w:before="156" w:beforeLines="50" w:after="0" w:line="500" w:lineRule="exact"/>
        <w:ind w:firstLine="480" w:firstLineChars="200"/>
        <w:jc w:val="left"/>
        <w:rPr>
          <w:rFonts w:ascii="宋体" w:hAnsi="宋体" w:eastAsia="宋体" w:cs="Times New Roman"/>
          <w:b w:val="0"/>
          <w:bCs w:val="0"/>
          <w:kern w:val="2"/>
          <w:sz w:val="24"/>
          <w:szCs w:val="24"/>
        </w:rPr>
      </w:pPr>
      <w:r>
        <w:rPr>
          <w:rFonts w:hint="eastAsia" w:ascii="宋体" w:hAnsi="宋体" w:eastAsia="宋体" w:cs="Times New Roman"/>
          <w:b w:val="0"/>
          <w:bCs w:val="0"/>
          <w:kern w:val="2"/>
          <w:sz w:val="24"/>
          <w:szCs w:val="24"/>
        </w:rPr>
        <w:t>为深入贯彻本规程实施，建议在本规程颁布之初，在各级计量部门开展宣贯，在本规程逐渐实施过程中，组织各省级相关技术部门进行宣讲，定期或不定期的开展经验交流活动。</w:t>
      </w:r>
    </w:p>
    <w:p>
      <w:pPr>
        <w:pStyle w:val="11"/>
        <w:numPr>
          <w:ilvl w:val="0"/>
          <w:numId w:val="3"/>
        </w:numPr>
        <w:spacing w:before="156" w:beforeLines="50" w:after="0" w:line="500" w:lineRule="exact"/>
        <w:ind w:firstLine="560" w:firstLineChars="200"/>
        <w:jc w:val="left"/>
        <w:rPr>
          <w:sz w:val="28"/>
          <w:szCs w:val="28"/>
        </w:rPr>
      </w:pPr>
      <w:bookmarkStart w:id="34" w:name="_Toc116567679"/>
      <w:bookmarkStart w:id="35" w:name="_Toc116567860"/>
      <w:bookmarkStart w:id="36" w:name="_Hlk120178554"/>
      <w:r>
        <w:rPr>
          <w:rFonts w:hint="eastAsia"/>
          <w:sz w:val="28"/>
          <w:szCs w:val="28"/>
        </w:rPr>
        <w:t>重要技术条文解</w:t>
      </w:r>
      <w:bookmarkEnd w:id="34"/>
      <w:bookmarkEnd w:id="35"/>
      <w:r>
        <w:rPr>
          <w:rFonts w:hint="eastAsia"/>
          <w:sz w:val="28"/>
          <w:szCs w:val="28"/>
        </w:rPr>
        <w:t>释。</w:t>
      </w:r>
    </w:p>
    <w:p>
      <w:pPr>
        <w:spacing w:line="360" w:lineRule="auto"/>
        <w:ind w:firstLine="480" w:firstLineChars="200"/>
        <w:rPr>
          <w:sz w:val="24"/>
          <w:szCs w:val="21"/>
        </w:rPr>
      </w:pPr>
      <w:r>
        <w:rPr>
          <w:rFonts w:hint="eastAsia" w:ascii="宋体"/>
          <w:sz w:val="24"/>
          <w:szCs w:val="20"/>
        </w:rPr>
        <w:t>1.范围中，</w:t>
      </w:r>
      <w:r>
        <w:rPr>
          <w:rFonts w:hint="eastAsia"/>
          <w:sz w:val="24"/>
          <w:szCs w:val="21"/>
        </w:rPr>
        <w:t>本大纲适用于分类编码为</w:t>
      </w:r>
      <w:r>
        <w:rPr>
          <w:sz w:val="24"/>
          <w:szCs w:val="21"/>
        </w:rPr>
        <w:t>15280500（</w:t>
      </w:r>
      <w:r>
        <w:rPr>
          <w:rFonts w:hint="eastAsia"/>
          <w:sz w:val="24"/>
          <w:szCs w:val="21"/>
        </w:rPr>
        <w:t>测量用电流互感器</w:t>
      </w:r>
      <w:r>
        <w:rPr>
          <w:sz w:val="24"/>
          <w:szCs w:val="21"/>
        </w:rPr>
        <w:t>）</w:t>
      </w:r>
      <w:r>
        <w:rPr>
          <w:rFonts w:hint="eastAsia"/>
          <w:sz w:val="24"/>
          <w:szCs w:val="21"/>
        </w:rPr>
        <w:t>的宽量程电流互感器的型式评价。宽量程电流互感器没有单独的分类编码，其属于测量用电流互感器，所以分类编码为</w:t>
      </w:r>
      <w:r>
        <w:rPr>
          <w:sz w:val="24"/>
          <w:szCs w:val="21"/>
        </w:rPr>
        <w:t>15280500</w:t>
      </w:r>
      <w:r>
        <w:rPr>
          <w:rFonts w:hint="eastAsia"/>
          <w:sz w:val="24"/>
          <w:szCs w:val="21"/>
        </w:rPr>
        <w:t>。</w:t>
      </w:r>
    </w:p>
    <w:p>
      <w:pPr>
        <w:spacing w:line="360" w:lineRule="auto"/>
        <w:ind w:firstLine="480" w:firstLineChars="200"/>
        <w:rPr>
          <w:sz w:val="24"/>
          <w:szCs w:val="21"/>
        </w:rPr>
      </w:pPr>
      <w:r>
        <w:rPr>
          <w:rFonts w:hint="eastAsia"/>
          <w:sz w:val="24"/>
          <w:szCs w:val="21"/>
        </w:rPr>
        <w:t>本大纲适用于</w:t>
      </w:r>
      <w:r>
        <w:rPr>
          <w:sz w:val="24"/>
          <w:szCs w:val="21"/>
        </w:rPr>
        <w:t>3</w:t>
      </w:r>
      <w:r>
        <w:rPr>
          <w:rFonts w:hint="eastAsia"/>
          <w:sz w:val="24"/>
          <w:szCs w:val="21"/>
        </w:rPr>
        <w:t>5 kV及以下电力系统供电能计量使用、频率为</w:t>
      </w:r>
      <w:r>
        <w:rPr>
          <w:sz w:val="24"/>
          <w:szCs w:val="21"/>
        </w:rPr>
        <w:t>50</w:t>
      </w:r>
      <w:r>
        <w:rPr>
          <w:rFonts w:hint="eastAsia"/>
          <w:sz w:val="24"/>
          <w:szCs w:val="21"/>
        </w:rPr>
        <w:t xml:space="preserve"> </w:t>
      </w:r>
      <w:r>
        <w:rPr>
          <w:sz w:val="24"/>
          <w:szCs w:val="21"/>
        </w:rPr>
        <w:t>Hz</w:t>
      </w:r>
      <w:r>
        <w:rPr>
          <w:rFonts w:hint="eastAsia"/>
          <w:sz w:val="24"/>
          <w:szCs w:val="21"/>
        </w:rPr>
        <w:t>、测量范围</w:t>
      </w:r>
      <w:r>
        <w:rPr>
          <w:sz w:val="24"/>
          <w:szCs w:val="21"/>
        </w:rPr>
        <w:t>在</w:t>
      </w:r>
      <w:r>
        <w:rPr>
          <w:rFonts w:hint="eastAsia"/>
          <w:sz w:val="24"/>
          <w:szCs w:val="21"/>
        </w:rPr>
        <w:t>（</w:t>
      </w:r>
      <w:r>
        <w:rPr>
          <w:sz w:val="24"/>
          <w:szCs w:val="21"/>
        </w:rPr>
        <w:t>0.1%～200%</w:t>
      </w:r>
      <w:r>
        <w:rPr>
          <w:rFonts w:hint="eastAsia"/>
          <w:sz w:val="24"/>
          <w:szCs w:val="21"/>
        </w:rPr>
        <w:t>）</w:t>
      </w:r>
      <w:r>
        <w:rPr>
          <w:sz w:val="24"/>
          <w:szCs w:val="21"/>
        </w:rPr>
        <w:t>额定电流的</w:t>
      </w:r>
      <w:r>
        <w:rPr>
          <w:rFonts w:hint="eastAsia"/>
          <w:sz w:val="24"/>
          <w:szCs w:val="21"/>
        </w:rPr>
        <w:t>电能计量用宽量程电流互感器</w:t>
      </w:r>
      <w:r>
        <w:rPr>
          <w:rStyle w:val="18"/>
          <w:rFonts w:hint="eastAsia"/>
          <w:sz w:val="24"/>
        </w:rPr>
        <w:t>。大纲规定范围为“</w:t>
      </w:r>
      <w:r>
        <w:rPr>
          <w:sz w:val="24"/>
          <w:szCs w:val="21"/>
        </w:rPr>
        <w:t>3</w:t>
      </w:r>
      <w:r>
        <w:rPr>
          <w:rFonts w:hint="eastAsia"/>
          <w:sz w:val="24"/>
          <w:szCs w:val="21"/>
        </w:rPr>
        <w:t>5 kV及以下</w:t>
      </w:r>
      <w:r>
        <w:rPr>
          <w:rStyle w:val="18"/>
          <w:rFonts w:hint="eastAsia"/>
          <w:sz w:val="24"/>
        </w:rPr>
        <w:t>”，是因为现在没有3</w:t>
      </w:r>
      <w:r>
        <w:rPr>
          <w:rStyle w:val="18"/>
          <w:sz w:val="24"/>
        </w:rPr>
        <w:t>5 kV</w:t>
      </w:r>
      <w:r>
        <w:rPr>
          <w:rStyle w:val="18"/>
          <w:rFonts w:hint="eastAsia"/>
          <w:sz w:val="24"/>
        </w:rPr>
        <w:t>及以上</w:t>
      </w:r>
      <w:r>
        <w:rPr>
          <w:rFonts w:hint="eastAsia"/>
          <w:sz w:val="24"/>
          <w:szCs w:val="21"/>
        </w:rPr>
        <w:t>宽量程电流互感器</w:t>
      </w:r>
      <w:r>
        <w:rPr>
          <w:rStyle w:val="18"/>
          <w:rFonts w:hint="eastAsia"/>
          <w:sz w:val="24"/>
        </w:rPr>
        <w:t>，如今后有3</w:t>
      </w:r>
      <w:r>
        <w:rPr>
          <w:rStyle w:val="18"/>
          <w:sz w:val="24"/>
        </w:rPr>
        <w:t>5 kV</w:t>
      </w:r>
      <w:r>
        <w:rPr>
          <w:rStyle w:val="18"/>
          <w:rFonts w:hint="eastAsia"/>
          <w:sz w:val="24"/>
        </w:rPr>
        <w:t>及以上</w:t>
      </w:r>
      <w:r>
        <w:rPr>
          <w:rFonts w:hint="eastAsia"/>
          <w:sz w:val="24"/>
          <w:szCs w:val="21"/>
        </w:rPr>
        <w:t>宽量程电流互感器</w:t>
      </w:r>
      <w:r>
        <w:rPr>
          <w:rStyle w:val="18"/>
          <w:rFonts w:hint="eastAsia"/>
          <w:sz w:val="24"/>
        </w:rPr>
        <w:t>，可编制新的产品型式大纲；工作频率明确为工频5</w:t>
      </w:r>
      <w:r>
        <w:rPr>
          <w:rStyle w:val="18"/>
          <w:sz w:val="24"/>
        </w:rPr>
        <w:t>0 Hz</w:t>
      </w:r>
      <w:r>
        <w:rPr>
          <w:rStyle w:val="18"/>
          <w:rFonts w:hint="eastAsia"/>
          <w:sz w:val="24"/>
        </w:rPr>
        <w:t>，</w:t>
      </w:r>
      <w:r>
        <w:rPr>
          <w:rFonts w:hint="eastAsia"/>
          <w:sz w:val="24"/>
          <w:szCs w:val="21"/>
        </w:rPr>
        <w:t>（</w:t>
      </w:r>
      <w:r>
        <w:rPr>
          <w:sz w:val="24"/>
          <w:szCs w:val="21"/>
        </w:rPr>
        <w:t>0.1%～200%</w:t>
      </w:r>
      <w:r>
        <w:rPr>
          <w:rFonts w:hint="eastAsia"/>
          <w:sz w:val="24"/>
          <w:szCs w:val="21"/>
        </w:rPr>
        <w:t>）</w:t>
      </w:r>
      <w:r>
        <w:rPr>
          <w:sz w:val="24"/>
          <w:szCs w:val="21"/>
        </w:rPr>
        <w:t>额定电流</w:t>
      </w:r>
      <w:r>
        <w:rPr>
          <w:rFonts w:hint="eastAsia"/>
          <w:sz w:val="24"/>
          <w:szCs w:val="21"/>
        </w:rPr>
        <w:t>是宽量程电流互感器的主要特征之一，相对于传统电流互感器更宽的测量范围。</w:t>
      </w:r>
    </w:p>
    <w:p>
      <w:pPr>
        <w:spacing w:line="360" w:lineRule="auto"/>
        <w:ind w:firstLine="480" w:firstLineChars="200"/>
        <w:rPr>
          <w:sz w:val="24"/>
          <w:szCs w:val="21"/>
        </w:rPr>
      </w:pPr>
      <w:r>
        <w:rPr>
          <w:rFonts w:hint="eastAsia"/>
          <w:sz w:val="24"/>
          <w:szCs w:val="21"/>
        </w:rPr>
        <w:t>2</w:t>
      </w:r>
      <w:r>
        <w:rPr>
          <w:sz w:val="24"/>
          <w:szCs w:val="21"/>
        </w:rPr>
        <w:t>.</w:t>
      </w:r>
      <w:r>
        <w:rPr>
          <w:rFonts w:hint="eastAsia"/>
          <w:sz w:val="24"/>
          <w:szCs w:val="21"/>
        </w:rPr>
        <w:t>引用文件中，有引用其他标准的内容主要是，互感器校验仪、绝缘试验、</w:t>
      </w:r>
      <w:r>
        <w:rPr>
          <w:sz w:val="24"/>
        </w:rPr>
        <w:t>外壳的防护等级</w:t>
      </w:r>
      <w:r>
        <w:rPr>
          <w:rFonts w:hint="eastAsia"/>
          <w:sz w:val="24"/>
        </w:rPr>
        <w:t>、短时热电流试验、局部放电试验、试验电源和测量装置。</w:t>
      </w:r>
    </w:p>
    <w:p>
      <w:pPr>
        <w:spacing w:line="360" w:lineRule="auto"/>
        <w:ind w:firstLine="480" w:firstLineChars="200"/>
        <w:rPr>
          <w:rFonts w:ascii="宋体"/>
          <w:sz w:val="24"/>
          <w:szCs w:val="20"/>
        </w:rPr>
      </w:pPr>
      <w:r>
        <w:rPr>
          <w:rFonts w:ascii="宋体"/>
          <w:sz w:val="24"/>
          <w:szCs w:val="20"/>
        </w:rPr>
        <w:t>3</w:t>
      </w:r>
      <w:r>
        <w:rPr>
          <w:rFonts w:hint="eastAsia" w:ascii="宋体"/>
          <w:sz w:val="24"/>
          <w:szCs w:val="20"/>
        </w:rPr>
        <w:t>.术语和计量单位中，定义了宽量程电流互感器。电流范围是</w:t>
      </w:r>
      <w:r>
        <w:rPr>
          <w:rFonts w:hint="eastAsia"/>
          <w:sz w:val="24"/>
          <w:szCs w:val="21"/>
        </w:rPr>
        <w:t>（0.1%～200%）额定一次电流，特别说明宽量程电流互感器是电磁式电流互感器，不包含油浸式电流互感器。</w:t>
      </w:r>
    </w:p>
    <w:p>
      <w:pPr>
        <w:spacing w:line="360" w:lineRule="auto"/>
        <w:ind w:firstLine="480" w:firstLineChars="200"/>
        <w:rPr>
          <w:rFonts w:ascii="宋体"/>
          <w:sz w:val="24"/>
          <w:szCs w:val="20"/>
        </w:rPr>
      </w:pPr>
      <w:r>
        <w:rPr>
          <w:rFonts w:ascii="宋体"/>
          <w:sz w:val="24"/>
          <w:szCs w:val="20"/>
        </w:rPr>
        <w:t>4</w:t>
      </w:r>
      <w:r>
        <w:rPr>
          <w:rFonts w:hint="eastAsia" w:ascii="宋体"/>
          <w:sz w:val="24"/>
          <w:szCs w:val="20"/>
        </w:rPr>
        <w:t>.概述中，交代了宽量程电流互感器的主要四个组成部分，</w:t>
      </w:r>
      <w:r>
        <w:rPr>
          <w:rFonts w:hint="eastAsia"/>
          <w:sz w:val="24"/>
          <w:szCs w:val="21"/>
        </w:rPr>
        <w:t>一次绕组、二次绕组、铁心和绝缘材料</w:t>
      </w:r>
      <w:r>
        <w:rPr>
          <w:rFonts w:hint="eastAsia" w:ascii="宋体"/>
          <w:sz w:val="24"/>
          <w:szCs w:val="20"/>
        </w:rPr>
        <w:t>。其中</w:t>
      </w:r>
      <w:r>
        <w:rPr>
          <w:rFonts w:hint="eastAsia"/>
          <w:sz w:val="24"/>
          <w:szCs w:val="21"/>
        </w:rPr>
        <w:t>影响</w:t>
      </w:r>
      <w:r>
        <w:rPr>
          <w:rFonts w:hint="eastAsia" w:ascii="宋体"/>
          <w:sz w:val="24"/>
          <w:szCs w:val="20"/>
        </w:rPr>
        <w:t>宽量程电流互感</w:t>
      </w:r>
      <w:r>
        <w:rPr>
          <w:rFonts w:hint="eastAsia"/>
          <w:sz w:val="24"/>
          <w:szCs w:val="21"/>
        </w:rPr>
        <w:t>计量性能的关键零部件和材料为一次绕组、二次绕组和铁心。因此关键零部件和材料的列表中应包含一次绕组、二次绕组和铁心的型号、规格、制造厂及主要性能指标。</w:t>
      </w:r>
    </w:p>
    <w:p>
      <w:pPr>
        <w:spacing w:line="360" w:lineRule="auto"/>
        <w:ind w:firstLine="480" w:firstLineChars="200"/>
        <w:rPr>
          <w:rFonts w:ascii="宋体"/>
          <w:sz w:val="24"/>
          <w:szCs w:val="20"/>
        </w:rPr>
      </w:pPr>
      <w:r>
        <w:rPr>
          <w:rFonts w:ascii="宋体"/>
          <w:sz w:val="24"/>
          <w:szCs w:val="20"/>
        </w:rPr>
        <w:t>5</w:t>
      </w:r>
      <w:r>
        <w:rPr>
          <w:rFonts w:hint="eastAsia" w:ascii="宋体"/>
          <w:sz w:val="24"/>
          <w:szCs w:val="20"/>
        </w:rPr>
        <w:t>.法制管理要求中，额定连续热电流是指温升试验过程中施加的电流，如果没有特殊说明，其应为2</w:t>
      </w:r>
      <w:r>
        <w:rPr>
          <w:rFonts w:ascii="宋体"/>
          <w:sz w:val="24"/>
          <w:szCs w:val="20"/>
        </w:rPr>
        <w:t>00%</w:t>
      </w:r>
      <w:r>
        <w:rPr>
          <w:rFonts w:hint="eastAsia" w:ascii="宋体"/>
          <w:sz w:val="24"/>
          <w:szCs w:val="20"/>
        </w:rPr>
        <w:t>额定电流。</w:t>
      </w:r>
    </w:p>
    <w:p>
      <w:pPr>
        <w:spacing w:line="360" w:lineRule="auto"/>
        <w:ind w:firstLine="480" w:firstLineChars="200"/>
        <w:rPr>
          <w:rFonts w:ascii="宋体"/>
          <w:sz w:val="24"/>
          <w:szCs w:val="20"/>
        </w:rPr>
      </w:pPr>
      <w:r>
        <w:rPr>
          <w:rFonts w:hint="eastAsia" w:ascii="宋体"/>
          <w:sz w:val="24"/>
          <w:szCs w:val="20"/>
        </w:rPr>
        <w:t>6</w:t>
      </w:r>
      <w:r>
        <w:rPr>
          <w:rFonts w:ascii="宋体"/>
          <w:sz w:val="24"/>
          <w:szCs w:val="20"/>
        </w:rPr>
        <w:t>.</w:t>
      </w:r>
      <w:r>
        <w:rPr>
          <w:rFonts w:hint="eastAsia" w:ascii="宋体"/>
          <w:sz w:val="24"/>
          <w:szCs w:val="20"/>
        </w:rPr>
        <w:t>计量要求中，规定了宽量程电流互感器的准确度等级、测量点和误差限值。为了区别于传统电流互感器的准确度等级0.2S级、0.5S级等，规定宽量程电流互感器准确度等级为0.2SS级、0.5SS级，主要考虑如下：1）准确度等级中带“S”的量程更宽，以0.2S级和0.2级电流互感器为例，0.2S级电流互感器测量范围为（1%~120%）额定电流，0.2级电流互感器测量范围为（5%~120%）额定电流；2）英文字母“S”有“加强”的意思，在其他行业的评价体系中也有类似的用法，用增加“S”的方式来表示更高的等级，如“SS级”是比“S级”更高的等级。工作组选择了75 A/5 A、200 A/5 A、600 A/5 A、1000 A/5 A等多个变比，对多个厂家的多个互感器，分别进行了（0.1%~200%）额定电流的准确度试验（试验点包括0.1%、0.5%、1%、5%、20%、100%、120%和200%），结合试验结果并参考JJ</w:t>
      </w:r>
      <w:r>
        <w:rPr>
          <w:rFonts w:ascii="宋体"/>
          <w:sz w:val="24"/>
          <w:szCs w:val="20"/>
        </w:rPr>
        <w:t>F</w:t>
      </w:r>
      <w:r>
        <w:rPr>
          <w:rFonts w:hint="eastAsia" w:ascii="宋体"/>
          <w:sz w:val="24"/>
          <w:szCs w:val="20"/>
        </w:rPr>
        <w:t xml:space="preserve"> </w:t>
      </w:r>
      <w:r>
        <w:rPr>
          <w:rFonts w:ascii="宋体"/>
          <w:sz w:val="24"/>
          <w:szCs w:val="20"/>
        </w:rPr>
        <w:t>1701.4</w:t>
      </w:r>
      <w:r>
        <w:rPr>
          <w:rFonts w:hint="eastAsia" w:ascii="宋体"/>
          <w:sz w:val="24"/>
          <w:szCs w:val="20"/>
        </w:rPr>
        <w:t xml:space="preserve"> 《测量用互感器型式评价大纲 第4部分：电流互感器》，最终选择了0.1%、1%、20%、100%、200%共5个测量点，并规定宽量程电流互感器在1%、20%、、100%、200%额定电流测量点，比值误差限值为±0.2%，相位误差为±10′；在0.1%额定电流测量点，比值误差限值为±0.</w:t>
      </w:r>
      <w:r>
        <w:rPr>
          <w:rFonts w:hint="eastAsia" w:ascii="宋体"/>
          <w:sz w:val="24"/>
          <w:szCs w:val="20"/>
          <w:lang w:val="en-US" w:eastAsia="zh-CN"/>
        </w:rPr>
        <w:t>6</w:t>
      </w:r>
      <w:r>
        <w:rPr>
          <w:rFonts w:hint="eastAsia" w:ascii="宋体"/>
          <w:sz w:val="24"/>
          <w:szCs w:val="20"/>
        </w:rPr>
        <w:t>%，相位误差为±</w:t>
      </w:r>
      <w:r>
        <w:rPr>
          <w:rFonts w:hint="eastAsia" w:ascii="宋体"/>
          <w:sz w:val="24"/>
          <w:szCs w:val="20"/>
          <w:lang w:val="en-US" w:eastAsia="zh-CN"/>
        </w:rPr>
        <w:t>3</w:t>
      </w:r>
      <w:r>
        <w:rPr>
          <w:rFonts w:hint="eastAsia" w:ascii="宋体"/>
          <w:sz w:val="24"/>
          <w:szCs w:val="20"/>
        </w:rPr>
        <w:t>0′。</w:t>
      </w:r>
    </w:p>
    <w:p>
      <w:pPr>
        <w:spacing w:line="360" w:lineRule="auto"/>
        <w:ind w:firstLine="480" w:firstLineChars="200"/>
        <w:rPr>
          <w:rFonts w:ascii="宋体"/>
          <w:sz w:val="24"/>
          <w:szCs w:val="20"/>
        </w:rPr>
      </w:pPr>
      <w:r>
        <w:rPr>
          <w:rFonts w:ascii="宋体"/>
          <w:sz w:val="24"/>
          <w:szCs w:val="20"/>
        </w:rPr>
        <w:t>7</w:t>
      </w:r>
      <w:r>
        <w:rPr>
          <w:rFonts w:hint="eastAsia" w:ascii="宋体"/>
          <w:sz w:val="24"/>
          <w:szCs w:val="20"/>
        </w:rPr>
        <w:t>．通用技术要求中，规定了宽量程电流互感器的使用环境条件</w:t>
      </w:r>
      <w:r>
        <w:rPr>
          <w:sz w:val="24"/>
          <w:szCs w:val="20"/>
        </w:rPr>
        <w:t>为-25</w:t>
      </w:r>
      <w:r>
        <w:rPr>
          <w:rFonts w:hint="eastAsia" w:ascii="宋体" w:hAnsi="宋体" w:cs="宋体"/>
          <w:sz w:val="24"/>
          <w:szCs w:val="20"/>
        </w:rPr>
        <w:t>℃</w:t>
      </w:r>
      <w:r>
        <w:rPr>
          <w:sz w:val="24"/>
          <w:szCs w:val="20"/>
        </w:rPr>
        <w:t>~40</w:t>
      </w:r>
      <w:r>
        <w:rPr>
          <w:rFonts w:hint="eastAsia" w:ascii="宋体" w:hAnsi="宋体" w:cs="宋体"/>
          <w:sz w:val="24"/>
          <w:szCs w:val="20"/>
        </w:rPr>
        <w:t>℃</w:t>
      </w:r>
      <w:r>
        <w:rPr>
          <w:rFonts w:hint="eastAsia" w:ascii="宋体"/>
          <w:sz w:val="24"/>
          <w:szCs w:val="20"/>
        </w:rPr>
        <w:t>，这个是根据互感器的实际使用条件范围，适用于我国绝大部分地区，对于极端地理位置和特殊需求，可以定制相关互感器。</w:t>
      </w:r>
    </w:p>
    <w:p>
      <w:pPr>
        <w:spacing w:line="360" w:lineRule="auto"/>
        <w:ind w:firstLine="480" w:firstLineChars="200"/>
        <w:rPr>
          <w:rFonts w:ascii="宋体"/>
          <w:sz w:val="24"/>
          <w:szCs w:val="20"/>
        </w:rPr>
      </w:pPr>
      <w:r>
        <w:rPr>
          <w:rFonts w:hint="eastAsia"/>
          <w:sz w:val="24"/>
          <w:szCs w:val="21"/>
        </w:rPr>
        <w:t>宽量程电流互感器的一次端额定绝缘水平应以表4所列的设备最高电压</w:t>
      </w:r>
      <w:r>
        <w:rPr>
          <w:i/>
          <w:sz w:val="24"/>
          <w:szCs w:val="21"/>
        </w:rPr>
        <w:t>U</w:t>
      </w:r>
      <w:r>
        <w:rPr>
          <w:sz w:val="24"/>
          <w:szCs w:val="21"/>
          <w:vertAlign w:val="subscript"/>
        </w:rPr>
        <w:t>m</w:t>
      </w:r>
      <w:r>
        <w:rPr>
          <w:rFonts w:hint="eastAsia"/>
          <w:sz w:val="24"/>
          <w:szCs w:val="21"/>
        </w:rPr>
        <w:t>（或</w:t>
      </w:r>
      <w:r>
        <w:rPr>
          <w:i/>
          <w:sz w:val="24"/>
          <w:szCs w:val="21"/>
        </w:rPr>
        <w:t>U</w:t>
      </w:r>
      <w:r>
        <w:rPr>
          <w:sz w:val="24"/>
          <w:szCs w:val="21"/>
          <w:vertAlign w:val="subscript"/>
        </w:rPr>
        <w:t>n</w:t>
      </w:r>
      <w:r>
        <w:rPr>
          <w:rFonts w:hint="eastAsia"/>
          <w:sz w:val="24"/>
          <w:szCs w:val="21"/>
        </w:rPr>
        <w:t>）为依据。一次额定绝缘水平</w:t>
      </w:r>
      <w:r>
        <w:rPr>
          <w:rFonts w:hint="eastAsia" w:ascii="宋体"/>
          <w:sz w:val="24"/>
          <w:szCs w:val="20"/>
        </w:rPr>
        <w:t>中涉及的电压等级，宽量程电流互感器主要涉及0.4 kV、10 kV、20 kV和35 kV，本大纲根据不同的电压等级，并参考GB 20840.1—2010《互感器 第1部分：通用技术要求》等国家标准，给出了不同的工频耐压要求。</w:t>
      </w:r>
    </w:p>
    <w:p>
      <w:pPr>
        <w:spacing w:line="360" w:lineRule="auto"/>
        <w:ind w:firstLine="480" w:firstLineChars="200"/>
        <w:rPr>
          <w:sz w:val="24"/>
          <w:szCs w:val="21"/>
        </w:rPr>
      </w:pPr>
      <w:r>
        <w:rPr>
          <w:rFonts w:hint="eastAsia" w:ascii="宋体"/>
          <w:sz w:val="24"/>
          <w:szCs w:val="20"/>
        </w:rPr>
        <w:t>一次端局部放电要求适用于</w:t>
      </w:r>
      <w:r>
        <w:rPr>
          <w:i/>
          <w:sz w:val="24"/>
          <w:szCs w:val="21"/>
        </w:rPr>
        <w:t>U</w:t>
      </w:r>
      <w:r>
        <w:rPr>
          <w:sz w:val="24"/>
          <w:szCs w:val="21"/>
          <w:vertAlign w:val="subscript"/>
        </w:rPr>
        <w:t>m</w:t>
      </w:r>
      <w:r>
        <w:rPr>
          <w:rFonts w:hint="eastAsia"/>
          <w:sz w:val="24"/>
          <w:szCs w:val="21"/>
        </w:rPr>
        <w:t>≥</w:t>
      </w:r>
      <w:r>
        <w:rPr>
          <w:sz w:val="24"/>
          <w:szCs w:val="21"/>
        </w:rPr>
        <w:t>7.2</w:t>
      </w:r>
      <w:r>
        <w:rPr>
          <w:rFonts w:hint="eastAsia"/>
          <w:sz w:val="24"/>
          <w:szCs w:val="21"/>
        </w:rPr>
        <w:t xml:space="preserve"> </w:t>
      </w:r>
      <w:r>
        <w:rPr>
          <w:sz w:val="24"/>
          <w:szCs w:val="21"/>
        </w:rPr>
        <w:t>kV</w:t>
      </w:r>
      <w:r>
        <w:rPr>
          <w:rFonts w:hint="eastAsia"/>
          <w:sz w:val="24"/>
          <w:szCs w:val="21"/>
        </w:rPr>
        <w:t>的宽量程电流互感器。其对应的是中压互感器，低压电流互感器不涉及局部放电试验。局部放电试验的测量电压有区别主要在于系统接地方式，如果是中性点接地系统（接地故障因数≤1.4），那么第一个测量电压为</w:t>
      </w:r>
      <w:r>
        <w:rPr>
          <w:i/>
          <w:szCs w:val="18"/>
        </w:rPr>
        <w:t>U</w:t>
      </w:r>
      <w:r>
        <w:rPr>
          <w:szCs w:val="18"/>
          <w:vertAlign w:val="subscript"/>
        </w:rPr>
        <w:t>m</w:t>
      </w:r>
      <w:r>
        <w:rPr>
          <w:rFonts w:hint="eastAsia"/>
          <w:szCs w:val="18"/>
        </w:rPr>
        <w:t>，</w:t>
      </w:r>
      <w:r>
        <w:rPr>
          <w:rFonts w:hint="eastAsia"/>
          <w:sz w:val="24"/>
          <w:szCs w:val="21"/>
        </w:rPr>
        <w:t>如果是中性点绝缘或非有效接地系统（接地故障因数&gt;1.4），那么第一个测量电压为1</w:t>
      </w:r>
      <w:r>
        <w:rPr>
          <w:sz w:val="24"/>
          <w:szCs w:val="21"/>
        </w:rPr>
        <w:t>.2</w:t>
      </w:r>
      <w:r>
        <w:rPr>
          <w:i/>
          <w:iCs/>
          <w:sz w:val="24"/>
          <w:szCs w:val="21"/>
        </w:rPr>
        <w:t>U</w:t>
      </w:r>
      <w:r>
        <w:rPr>
          <w:sz w:val="24"/>
          <w:szCs w:val="21"/>
        </w:rPr>
        <w:t>m</w:t>
      </w:r>
      <w:r>
        <w:rPr>
          <w:rFonts w:hint="eastAsia"/>
          <w:sz w:val="24"/>
          <w:szCs w:val="21"/>
        </w:rPr>
        <w:t>，当情况不明朗的时候，通常采取更严格的标准，在1</w:t>
      </w:r>
      <w:r>
        <w:rPr>
          <w:sz w:val="24"/>
          <w:szCs w:val="21"/>
        </w:rPr>
        <w:t>.2</w:t>
      </w:r>
      <w:r>
        <w:rPr>
          <w:i/>
          <w:iCs/>
          <w:sz w:val="24"/>
          <w:szCs w:val="21"/>
        </w:rPr>
        <w:t>U</w:t>
      </w:r>
      <w:r>
        <w:rPr>
          <w:sz w:val="24"/>
          <w:szCs w:val="21"/>
        </w:rPr>
        <w:t>m</w:t>
      </w:r>
      <w:r>
        <w:rPr>
          <w:rFonts w:hint="eastAsia"/>
          <w:sz w:val="24"/>
          <w:szCs w:val="21"/>
        </w:rPr>
        <w:t>进行局部放电量的测量。在开展局部放电试验过程中，需要一试品一校准，这样局放测量结果才有效。</w:t>
      </w:r>
    </w:p>
    <w:p>
      <w:pPr>
        <w:spacing w:line="360" w:lineRule="auto"/>
        <w:ind w:firstLine="480" w:firstLineChars="200"/>
        <w:rPr>
          <w:sz w:val="24"/>
          <w:szCs w:val="21"/>
        </w:rPr>
      </w:pPr>
      <w:r>
        <w:rPr>
          <w:sz w:val="24"/>
          <w:szCs w:val="21"/>
        </w:rPr>
        <w:t>二次绕组匝间绝缘的额定耐受电压应为4.5 kV（峰值）。匝间过电压试验应在满匝二次绕组上进行，二次绕组开路（或连接读取峰值电压的高阻抗装置），对一次绕组施加工频电流</w:t>
      </w:r>
      <w:r>
        <w:rPr>
          <w:rFonts w:hint="eastAsia"/>
          <w:sz w:val="24"/>
          <w:szCs w:val="21"/>
        </w:rPr>
        <w:t>。如果在升流过程中</w:t>
      </w:r>
      <w:r>
        <w:rPr>
          <w:sz w:val="24"/>
          <w:szCs w:val="21"/>
        </w:rPr>
        <w:t>二次绕组匝间电压</w:t>
      </w:r>
      <w:r>
        <w:rPr>
          <w:rFonts w:hint="eastAsia"/>
          <w:sz w:val="24"/>
          <w:szCs w:val="21"/>
        </w:rPr>
        <w:t>达到</w:t>
      </w:r>
      <w:r>
        <w:rPr>
          <w:sz w:val="24"/>
          <w:szCs w:val="21"/>
        </w:rPr>
        <w:t>4.5 kV</w:t>
      </w:r>
      <w:r>
        <w:rPr>
          <w:rFonts w:hint="eastAsia"/>
          <w:sz w:val="24"/>
          <w:szCs w:val="21"/>
        </w:rPr>
        <w:t>，则应停止升流，如果没有，应升流</w:t>
      </w:r>
      <w:r>
        <w:rPr>
          <w:sz w:val="24"/>
          <w:szCs w:val="21"/>
        </w:rPr>
        <w:t>到额定一次电流</w:t>
      </w:r>
      <w:r>
        <w:rPr>
          <w:rFonts w:hint="eastAsia"/>
          <w:sz w:val="24"/>
          <w:szCs w:val="21"/>
        </w:rPr>
        <w:t>（或者</w:t>
      </w:r>
      <w:r>
        <w:rPr>
          <w:sz w:val="24"/>
          <w:szCs w:val="21"/>
        </w:rPr>
        <w:t>额定一次</w:t>
      </w:r>
      <w:r>
        <w:rPr>
          <w:rFonts w:hint="eastAsia"/>
          <w:sz w:val="24"/>
          <w:szCs w:val="21"/>
        </w:rPr>
        <w:t>扩大</w:t>
      </w:r>
      <w:r>
        <w:rPr>
          <w:sz w:val="24"/>
          <w:szCs w:val="21"/>
        </w:rPr>
        <w:t>电流</w:t>
      </w:r>
      <w:r>
        <w:rPr>
          <w:rFonts w:hint="eastAsia"/>
          <w:sz w:val="24"/>
          <w:szCs w:val="21"/>
        </w:rPr>
        <w:t>），这里额定一次扩大电流为2</w:t>
      </w:r>
      <w:r>
        <w:rPr>
          <w:sz w:val="24"/>
          <w:szCs w:val="21"/>
        </w:rPr>
        <w:t>00%</w:t>
      </w:r>
      <w:r>
        <w:rPr>
          <w:rFonts w:hint="eastAsia"/>
          <w:sz w:val="24"/>
          <w:szCs w:val="21"/>
        </w:rPr>
        <w:t>额定电流。</w:t>
      </w:r>
    </w:p>
    <w:p>
      <w:pPr>
        <w:spacing w:line="360" w:lineRule="auto"/>
        <w:ind w:firstLine="480" w:firstLineChars="200"/>
        <w:rPr>
          <w:rFonts w:ascii="宋体"/>
          <w:sz w:val="24"/>
          <w:szCs w:val="20"/>
        </w:rPr>
      </w:pPr>
      <w:r>
        <w:rPr>
          <w:sz w:val="24"/>
          <w:szCs w:val="21"/>
        </w:rPr>
        <w:t>绕组温升受其本身绝缘或周围介质的最低绝缘等级限制</w:t>
      </w:r>
      <w:r>
        <w:rPr>
          <w:rFonts w:hint="eastAsia"/>
          <w:sz w:val="24"/>
          <w:szCs w:val="21"/>
        </w:rPr>
        <w:t>，不同等级绕组温升限值不同，用螺栓或类似件紧固的连接接触处的温升和覆盖的金属有关。对于高海拔地区的试验时，</w:t>
      </w:r>
      <w:r>
        <w:rPr>
          <w:sz w:val="24"/>
          <w:szCs w:val="21"/>
        </w:rPr>
        <w:t>温升限值Δ</w:t>
      </w:r>
      <w:r>
        <w:rPr>
          <w:i/>
          <w:sz w:val="24"/>
          <w:szCs w:val="21"/>
        </w:rPr>
        <w:t>T</w:t>
      </w:r>
      <w:r>
        <w:rPr>
          <w:sz w:val="24"/>
          <w:szCs w:val="21"/>
        </w:rPr>
        <w:t>应</w:t>
      </w:r>
      <w:r>
        <w:rPr>
          <w:rFonts w:hint="eastAsia"/>
          <w:sz w:val="24"/>
          <w:szCs w:val="21"/>
        </w:rPr>
        <w:t>乘以海拔校正因数</w:t>
      </w:r>
      <w:r>
        <w:rPr>
          <w:rFonts w:hint="eastAsia"/>
          <w:i/>
          <w:sz w:val="24"/>
          <w:szCs w:val="21"/>
        </w:rPr>
        <w:t>k</w:t>
      </w:r>
      <w:r>
        <w:rPr>
          <w:sz w:val="24"/>
          <w:szCs w:val="21"/>
          <w:vertAlign w:val="subscript"/>
        </w:rPr>
        <w:t>0</w:t>
      </w:r>
      <w:r>
        <w:rPr>
          <w:rFonts w:hint="eastAsia"/>
          <w:sz w:val="24"/>
          <w:szCs w:val="21"/>
        </w:rPr>
        <w:t>。海拔越高，空气越稀薄，温升限值越低。</w:t>
      </w:r>
    </w:p>
    <w:p>
      <w:pPr>
        <w:spacing w:line="360" w:lineRule="auto"/>
        <w:ind w:firstLine="480" w:firstLineChars="200"/>
        <w:rPr>
          <w:sz w:val="24"/>
          <w:szCs w:val="21"/>
        </w:rPr>
      </w:pPr>
      <w:r>
        <w:rPr>
          <w:sz w:val="24"/>
          <w:szCs w:val="21"/>
        </w:rPr>
        <w:t>户内宽量程电流互感器：户内宽量程电流互感器的低电压控制和/或辅助电路外壳，其最低防护等级推荐为IP20。户外宽量程电流互感器：户外宽量程电流互感器的低电压控制和/或辅助电路外壳，其最低防护等级推荐为IP44。IP</w:t>
      </w:r>
      <w:r>
        <w:fldChar w:fldCharType="begin"/>
      </w:r>
      <w:r>
        <w:instrText xml:space="preserve"> HYPERLINK "https://baike.baidu.com/item/%E9%98%B2%E6%8A%A4%E7%AD%89%E7%BA%A7/4878303?fromModule=lemma_inlink" \t "_blank" </w:instrText>
      </w:r>
      <w:r>
        <w:fldChar w:fldCharType="separate"/>
      </w:r>
      <w:r>
        <w:rPr>
          <w:sz w:val="24"/>
        </w:rPr>
        <w:t>防护等级</w:t>
      </w:r>
      <w:r>
        <w:rPr>
          <w:sz w:val="24"/>
        </w:rPr>
        <w:fldChar w:fldCharType="end"/>
      </w:r>
      <w:r>
        <w:rPr>
          <w:sz w:val="24"/>
          <w:szCs w:val="21"/>
        </w:rPr>
        <w:t>系统将</w:t>
      </w:r>
      <w:r>
        <w:fldChar w:fldCharType="begin"/>
      </w:r>
      <w:r>
        <w:instrText xml:space="preserve"> HYPERLINK "https://baike.baidu.com/item/%E7%94%B5%E5%99%A8/2640?fromModule=lemma_inlink" \t "_blank" </w:instrText>
      </w:r>
      <w:r>
        <w:fldChar w:fldCharType="separate"/>
      </w:r>
      <w:r>
        <w:rPr>
          <w:sz w:val="24"/>
        </w:rPr>
        <w:t>电器</w:t>
      </w:r>
      <w:r>
        <w:rPr>
          <w:sz w:val="24"/>
        </w:rPr>
        <w:fldChar w:fldCharType="end"/>
      </w:r>
      <w:r>
        <w:rPr>
          <w:sz w:val="24"/>
          <w:szCs w:val="21"/>
        </w:rPr>
        <w:t>依其防尘防湿气之特性加以分级。IP防护等级是由两个数字所组成，第1个数字表示电器防尘、防止外物侵入的等级</w:t>
      </w:r>
      <w:r>
        <w:rPr>
          <w:rFonts w:hint="eastAsia"/>
          <w:sz w:val="24"/>
          <w:szCs w:val="21"/>
        </w:rPr>
        <w:t>（</w:t>
      </w:r>
      <w:r>
        <w:rPr>
          <w:sz w:val="24"/>
          <w:szCs w:val="21"/>
        </w:rPr>
        <w:t>这里所指的外物含工具，人的手指等均不可接触到电器之内</w:t>
      </w:r>
      <w:r>
        <w:fldChar w:fldCharType="begin"/>
      </w:r>
      <w:r>
        <w:instrText xml:space="preserve"> HYPERLINK "https://baike.baidu.com/item/%E5%B8%A6%E7%94%B5%E9%83%A8%E5%88%86/4765502?fromModule=lemma_inlink" \t "_blank" </w:instrText>
      </w:r>
      <w:r>
        <w:fldChar w:fldCharType="separate"/>
      </w:r>
      <w:r>
        <w:rPr>
          <w:sz w:val="24"/>
        </w:rPr>
        <w:t>带电部分</w:t>
      </w:r>
      <w:r>
        <w:rPr>
          <w:sz w:val="24"/>
        </w:rPr>
        <w:fldChar w:fldCharType="end"/>
      </w:r>
      <w:r>
        <w:rPr>
          <w:sz w:val="24"/>
          <w:szCs w:val="21"/>
        </w:rPr>
        <w:t>，以免触电</w:t>
      </w:r>
      <w:r>
        <w:rPr>
          <w:rFonts w:hint="eastAsia"/>
          <w:sz w:val="24"/>
          <w:szCs w:val="21"/>
        </w:rPr>
        <w:t>）</w:t>
      </w:r>
      <w:r>
        <w:rPr>
          <w:sz w:val="24"/>
          <w:szCs w:val="21"/>
        </w:rPr>
        <w:t>，第2个数字表示电器防湿气、防水浸入的密闭程度，数字越大表示其防护等级越高。</w:t>
      </w:r>
      <w:r>
        <w:rPr>
          <w:rFonts w:hint="eastAsia"/>
          <w:sz w:val="24"/>
          <w:szCs w:val="21"/>
        </w:rPr>
        <w:t>第一位数字表明设备防止固体异物进入的等级，最高级别是6。具体为</w:t>
      </w:r>
      <w:r>
        <w:rPr>
          <w:sz w:val="24"/>
          <w:szCs w:val="21"/>
        </w:rPr>
        <w:t>0</w:t>
      </w:r>
      <w:r>
        <w:rPr>
          <w:rFonts w:hint="eastAsia"/>
          <w:sz w:val="24"/>
          <w:szCs w:val="21"/>
        </w:rPr>
        <w:t>表示无防护-对外界的人或物无特殊的防护，1表示防止直径大于50mm的固体外物侵入-防止人体（如手掌）因意外而接触到电器内部的零件，防止较大尺寸（直径大于50mm）的外物侵入，2表示防止直径大于12.5mm的固体外物侵入-防止人的手指接触到电器内部的零件，防止中等尺寸（直径大于12.5mm）的外物侵入，</w:t>
      </w:r>
      <w:r>
        <w:rPr>
          <w:sz w:val="24"/>
          <w:szCs w:val="21"/>
        </w:rPr>
        <w:t>3</w:t>
      </w:r>
      <w:r>
        <w:rPr>
          <w:rFonts w:hint="eastAsia"/>
          <w:sz w:val="24"/>
          <w:szCs w:val="21"/>
        </w:rPr>
        <w:t>表示防止直径大于2.5mm的固体外物侵入-防止直径或厚度大于2.5mm的工具、电线及类似的小型外物侵入而接触到电器内部的零件，4表示防止直径大于1.0mm的固体外物侵入-防止直径或厚度大于1.0mm的工具、电线及类似的小型外物侵入而接触到电器内部的零件，5表示防止外物及灰尘-完全防止外物侵入，虽不能完全防止灰尘侵入，但灰尘的侵入量不会影响电器的正常运作，6表示防止外物及灰尘-完全防止外物及灰尘侵入。第二位数字表明设备防水的程度，最高级别是8。具体为</w:t>
      </w:r>
      <w:r>
        <w:rPr>
          <w:sz w:val="24"/>
          <w:szCs w:val="21"/>
        </w:rPr>
        <w:t>0</w:t>
      </w:r>
      <w:r>
        <w:rPr>
          <w:rFonts w:hint="eastAsia"/>
          <w:sz w:val="24"/>
          <w:szCs w:val="21"/>
        </w:rPr>
        <w:t>表示无防护-对水或湿气无特殊的防护，1表示防止水滴浸入-垂直落下的水滴（如凝结水）不会对电器造成损坏，2表示倾斜15度时，仍可防止水滴浸入-当电器由垂直倾斜至15度时，滴水不会对电器造成损坏，3表示防止喷洒的水浸入-防雨或防止与垂直的夹角小于60度的方向所喷洒的水侵入电器而造成损坏，</w:t>
      </w:r>
      <w:r>
        <w:rPr>
          <w:sz w:val="24"/>
          <w:szCs w:val="21"/>
        </w:rPr>
        <w:t>4</w:t>
      </w:r>
      <w:r>
        <w:rPr>
          <w:rFonts w:hint="eastAsia"/>
          <w:sz w:val="24"/>
          <w:szCs w:val="21"/>
        </w:rPr>
        <w:t>表示防止飞溅的水浸入-防止各个方向飞溅而来的水侵入电器而造成损坏，5表示防止喷射的水浸入-防持续至少3分钟的低压喷水，6表示防止大浪浸入-防持续至少3分钟的大量喷水，7表示防止浸水时水的浸入-在深达1米的水中防30分钟的浸泡影响，</w:t>
      </w:r>
      <w:r>
        <w:rPr>
          <w:sz w:val="24"/>
          <w:szCs w:val="21"/>
        </w:rPr>
        <w:t>8</w:t>
      </w:r>
      <w:r>
        <w:rPr>
          <w:rFonts w:hint="eastAsia"/>
          <w:sz w:val="24"/>
          <w:szCs w:val="21"/>
        </w:rPr>
        <w:t>表示防止沉没时水的浸入-在深度超过1米的水中防持续浸泡影响。</w:t>
      </w:r>
    </w:p>
    <w:p>
      <w:pPr>
        <w:spacing w:line="360" w:lineRule="auto"/>
        <w:ind w:firstLine="480" w:firstLineChars="200"/>
        <w:rPr>
          <w:rFonts w:ascii="宋体"/>
          <w:sz w:val="24"/>
          <w:szCs w:val="20"/>
        </w:rPr>
      </w:pPr>
      <w:r>
        <w:rPr>
          <w:rFonts w:hint="eastAsia" w:ascii="宋体"/>
          <w:sz w:val="24"/>
          <w:szCs w:val="20"/>
        </w:rPr>
        <w:t>对于户内装置，抗机械冲击作用的防护水平推荐位IK7。对于户外装置，如无补充机械防护要求的，用户可规定更高的冲击水平。IK等级是一种用于表示电器设备外壳对外界机械碰的防护分级，为电器设备外壳在受到外力碰撞对内部设备的保护能力。具体为IK00表示无保护，IK01表示承受0.14J撞击力(相当于025KG重的物体从56mm高处落下对表面的撞击)，IK02表示承受0</w:t>
      </w:r>
      <w:r>
        <w:rPr>
          <w:rFonts w:ascii="宋体"/>
          <w:sz w:val="24"/>
          <w:szCs w:val="20"/>
        </w:rPr>
        <w:t>.</w:t>
      </w:r>
      <w:r>
        <w:rPr>
          <w:rFonts w:hint="eastAsia" w:ascii="宋体"/>
          <w:sz w:val="24"/>
          <w:szCs w:val="20"/>
        </w:rPr>
        <w:t>2J撞击力(相当于0</w:t>
      </w:r>
      <w:r>
        <w:rPr>
          <w:rFonts w:ascii="宋体"/>
          <w:sz w:val="24"/>
          <w:szCs w:val="20"/>
        </w:rPr>
        <w:t>.</w:t>
      </w:r>
      <w:r>
        <w:rPr>
          <w:rFonts w:hint="eastAsia" w:ascii="宋体"/>
          <w:sz w:val="24"/>
          <w:szCs w:val="20"/>
        </w:rPr>
        <w:t>25KG重的物体从80mm高处落下对表面的撞击)，IK03表示承受0</w:t>
      </w:r>
      <w:r>
        <w:rPr>
          <w:rFonts w:ascii="宋体"/>
          <w:sz w:val="24"/>
          <w:szCs w:val="20"/>
        </w:rPr>
        <w:t>.</w:t>
      </w:r>
      <w:r>
        <w:rPr>
          <w:rFonts w:hint="eastAsia" w:ascii="宋体"/>
          <w:sz w:val="24"/>
          <w:szCs w:val="20"/>
        </w:rPr>
        <w:t>35J撞击力(相当于0</w:t>
      </w:r>
      <w:r>
        <w:rPr>
          <w:rFonts w:ascii="宋体"/>
          <w:sz w:val="24"/>
          <w:szCs w:val="20"/>
        </w:rPr>
        <w:t>.</w:t>
      </w:r>
      <w:r>
        <w:rPr>
          <w:rFonts w:hint="eastAsia" w:ascii="宋体"/>
          <w:sz w:val="24"/>
          <w:szCs w:val="20"/>
        </w:rPr>
        <w:t>2KG重的物体从140mm高处落下对表面的撞击)，IK04表示承受0</w:t>
      </w:r>
      <w:r>
        <w:rPr>
          <w:rFonts w:ascii="宋体"/>
          <w:sz w:val="24"/>
          <w:szCs w:val="20"/>
        </w:rPr>
        <w:t>.</w:t>
      </w:r>
      <w:r>
        <w:rPr>
          <w:rFonts w:hint="eastAsia" w:ascii="宋体"/>
          <w:sz w:val="24"/>
          <w:szCs w:val="20"/>
        </w:rPr>
        <w:t>5J撞击力(相当于0</w:t>
      </w:r>
      <w:r>
        <w:rPr>
          <w:rFonts w:ascii="宋体"/>
          <w:sz w:val="24"/>
          <w:szCs w:val="20"/>
        </w:rPr>
        <w:t>.</w:t>
      </w:r>
      <w:r>
        <w:rPr>
          <w:rFonts w:hint="eastAsia" w:ascii="宋体"/>
          <w:sz w:val="24"/>
          <w:szCs w:val="20"/>
        </w:rPr>
        <w:t>25KG重的物体从200mm高处落下对表面的撞击)，IK05表示承受0</w:t>
      </w:r>
      <w:r>
        <w:rPr>
          <w:rFonts w:ascii="宋体"/>
          <w:sz w:val="24"/>
          <w:szCs w:val="20"/>
        </w:rPr>
        <w:t>.</w:t>
      </w:r>
      <w:r>
        <w:rPr>
          <w:rFonts w:hint="eastAsia" w:ascii="宋体"/>
          <w:sz w:val="24"/>
          <w:szCs w:val="20"/>
        </w:rPr>
        <w:t>7J撞击力(相当于0</w:t>
      </w:r>
      <w:r>
        <w:rPr>
          <w:rFonts w:ascii="宋体"/>
          <w:sz w:val="24"/>
          <w:szCs w:val="20"/>
        </w:rPr>
        <w:t>.</w:t>
      </w:r>
      <w:r>
        <w:rPr>
          <w:rFonts w:hint="eastAsia" w:ascii="宋体"/>
          <w:sz w:val="24"/>
          <w:szCs w:val="20"/>
        </w:rPr>
        <w:t>25KG重的物体从280mm高处落下对表面的撞击)，IK06表示承受1J撞击力(相当于0</w:t>
      </w:r>
      <w:r>
        <w:rPr>
          <w:rFonts w:ascii="宋体"/>
          <w:sz w:val="24"/>
          <w:szCs w:val="20"/>
        </w:rPr>
        <w:t>.</w:t>
      </w:r>
      <w:r>
        <w:rPr>
          <w:rFonts w:hint="eastAsia" w:ascii="宋体"/>
          <w:sz w:val="24"/>
          <w:szCs w:val="20"/>
        </w:rPr>
        <w:t>25KG重的物体从400mm高处落下对表面的撞击)，IK07表示承受2J撞击力(相当于0.5KG重的物体从400mm高处落下对表面的撞击)，IK08表示承受5J撞击力(相当于1.7KG重的物体从300mm高处落下对表面的撞击)，IK09表示承受10J撞击力(相当于5KG重的物体从200mm高处落下对表面的撞击)，IK10表示承受20J撞击力(相当于5KG重的物体从400mm高处落下对表面的撞击)。</w:t>
      </w:r>
    </w:p>
    <w:p>
      <w:pPr>
        <w:snapToGrid w:val="0"/>
        <w:spacing w:line="360" w:lineRule="auto"/>
        <w:ind w:firstLine="480" w:firstLineChars="200"/>
        <w:rPr>
          <w:sz w:val="24"/>
          <w:szCs w:val="21"/>
        </w:rPr>
      </w:pPr>
      <w:r>
        <w:rPr>
          <w:sz w:val="24"/>
          <w:szCs w:val="21"/>
        </w:rPr>
        <w:t>额定动稳定电流（</w:t>
      </w:r>
      <w:r>
        <w:rPr>
          <w:i/>
          <w:sz w:val="24"/>
        </w:rPr>
        <w:t>I</w:t>
      </w:r>
      <w:r>
        <w:rPr>
          <w:sz w:val="24"/>
          <w:vertAlign w:val="subscript"/>
        </w:rPr>
        <w:t>dyn</w:t>
      </w:r>
      <w:r>
        <w:rPr>
          <w:sz w:val="24"/>
          <w:szCs w:val="21"/>
        </w:rPr>
        <w:t>）的标准值是额定短时热电流（</w:t>
      </w:r>
      <w:r>
        <w:rPr>
          <w:i/>
          <w:sz w:val="24"/>
          <w:szCs w:val="21"/>
        </w:rPr>
        <w:t>I</w:t>
      </w:r>
      <w:r>
        <w:rPr>
          <w:sz w:val="24"/>
          <w:szCs w:val="21"/>
          <w:vertAlign w:val="subscript"/>
        </w:rPr>
        <w:t>th</w:t>
      </w:r>
      <w:r>
        <w:rPr>
          <w:sz w:val="24"/>
          <w:szCs w:val="21"/>
        </w:rPr>
        <w:t>）的2.5倍。</w:t>
      </w:r>
      <w:r>
        <w:rPr>
          <w:rFonts w:hint="eastAsia"/>
          <w:sz w:val="24"/>
          <w:szCs w:val="21"/>
        </w:rPr>
        <w:t>短时热电流和动稳定电流分别考核的是机械承受能力和热承受能力。</w:t>
      </w:r>
    </w:p>
    <w:p>
      <w:pPr>
        <w:spacing w:line="360" w:lineRule="auto"/>
        <w:ind w:firstLine="480" w:firstLineChars="200"/>
        <w:rPr>
          <w:rFonts w:ascii="宋体"/>
          <w:sz w:val="24"/>
          <w:szCs w:val="20"/>
        </w:rPr>
      </w:pPr>
      <w:r>
        <w:rPr>
          <w:rFonts w:hint="eastAsia" w:ascii="宋体"/>
          <w:sz w:val="24"/>
          <w:szCs w:val="20"/>
        </w:rPr>
        <w:t>8</w:t>
      </w:r>
      <w:r>
        <w:rPr>
          <w:rFonts w:ascii="宋体"/>
          <w:sz w:val="24"/>
          <w:szCs w:val="20"/>
        </w:rPr>
        <w:t>.</w:t>
      </w:r>
      <w:r>
        <w:rPr>
          <w:rFonts w:hint="eastAsia" w:ascii="宋体"/>
          <w:sz w:val="24"/>
          <w:szCs w:val="20"/>
        </w:rPr>
        <w:t>型式评价项目一览表中，</w:t>
      </w:r>
      <w:r>
        <w:rPr>
          <w:bCs/>
          <w:sz w:val="24"/>
          <w:szCs w:val="21"/>
        </w:rPr>
        <w:t>宽量程</w:t>
      </w:r>
      <w:r>
        <w:rPr>
          <w:sz w:val="24"/>
          <w:szCs w:val="21"/>
        </w:rPr>
        <w:t>电流互感器</w:t>
      </w:r>
      <w:r>
        <w:rPr>
          <w:bCs/>
          <w:sz w:val="24"/>
          <w:szCs w:val="21"/>
        </w:rPr>
        <w:t>的型式评价项目</w:t>
      </w:r>
      <w:r>
        <w:rPr>
          <w:rFonts w:hint="eastAsia"/>
          <w:bCs/>
          <w:sz w:val="24"/>
          <w:szCs w:val="21"/>
        </w:rPr>
        <w:t>一共包括1</w:t>
      </w:r>
      <w:r>
        <w:rPr>
          <w:bCs/>
          <w:sz w:val="24"/>
          <w:szCs w:val="21"/>
        </w:rPr>
        <w:t>6</w:t>
      </w:r>
      <w:r>
        <w:rPr>
          <w:rFonts w:hint="eastAsia"/>
          <w:bCs/>
          <w:sz w:val="24"/>
          <w:szCs w:val="21"/>
        </w:rPr>
        <w:t>项。其中法制管理要求3项，都属于目测通用，主要包括计量单位审查、外部结构审查和标志审查。计量要求3项，目测的是准确度等级审查，然后进行绕组极性检验和准确度试验。剩下的1</w:t>
      </w:r>
      <w:r>
        <w:rPr>
          <w:bCs/>
          <w:sz w:val="24"/>
          <w:szCs w:val="21"/>
        </w:rPr>
        <w:t>0</w:t>
      </w:r>
      <w:r>
        <w:rPr>
          <w:rFonts w:hint="eastAsia"/>
          <w:bCs/>
          <w:sz w:val="24"/>
          <w:szCs w:val="21"/>
        </w:rPr>
        <w:t>项为通用技术要求，其中局部放电测量和一次端冲击耐压试验和宽量程电流互感器的最高电压有关，户外型互感器的湿试验仅适用于户外型宽量程电流互感器。户内宽量程电流互感器有保证安全的控制手段可通常不考虑外壳防护等级的检验，户外宽量程电流互感器需要考核IP代码的检验和机械冲击试验。</w:t>
      </w:r>
    </w:p>
    <w:p>
      <w:pPr>
        <w:spacing w:line="360" w:lineRule="auto"/>
        <w:ind w:firstLine="480" w:firstLineChars="200"/>
        <w:rPr>
          <w:rFonts w:ascii="宋体"/>
          <w:sz w:val="24"/>
          <w:szCs w:val="20"/>
        </w:rPr>
      </w:pPr>
      <w:r>
        <w:rPr>
          <w:rFonts w:hint="eastAsia" w:ascii="宋体"/>
          <w:sz w:val="24"/>
          <w:szCs w:val="20"/>
        </w:rPr>
        <w:t>9．提供样机的数量及样机的使用方式中，对单一产品所需样机为1台，对于系列产品，需要覆盖小、中、大，所以需要送样3台。</w:t>
      </w:r>
    </w:p>
    <w:p>
      <w:pPr>
        <w:spacing w:line="360" w:lineRule="auto"/>
        <w:ind w:firstLine="480" w:firstLineChars="200"/>
        <w:rPr>
          <w:sz w:val="24"/>
          <w:szCs w:val="21"/>
        </w:rPr>
      </w:pPr>
      <w:r>
        <w:rPr>
          <w:sz w:val="24"/>
          <w:szCs w:val="21"/>
        </w:rPr>
        <w:t>最大电流比的宽量程电流互感器应增加温升试验。</w:t>
      </w:r>
      <w:r>
        <w:rPr>
          <w:rFonts w:hint="eastAsia"/>
          <w:sz w:val="24"/>
          <w:szCs w:val="21"/>
        </w:rPr>
        <w:t>这是因为最大电流比的</w:t>
      </w:r>
      <w:r>
        <w:rPr>
          <w:sz w:val="24"/>
          <w:szCs w:val="21"/>
        </w:rPr>
        <w:t>宽量程电流互感器</w:t>
      </w:r>
      <w:r>
        <w:rPr>
          <w:rFonts w:hint="eastAsia"/>
          <w:sz w:val="24"/>
          <w:szCs w:val="21"/>
        </w:rPr>
        <w:t>通入电流更大，发热最厉害，温升试验更容易不通过，所以需要增加温升试验。</w:t>
      </w:r>
    </w:p>
    <w:p>
      <w:pPr>
        <w:spacing w:line="360" w:lineRule="auto"/>
        <w:ind w:firstLine="480" w:firstLineChars="200"/>
        <w:rPr>
          <w:sz w:val="24"/>
          <w:szCs w:val="21"/>
        </w:rPr>
      </w:pPr>
      <w:r>
        <w:rPr>
          <w:rFonts w:hint="eastAsia" w:ascii="宋体"/>
          <w:sz w:val="24"/>
          <w:szCs w:val="20"/>
        </w:rPr>
        <w:t>1</w:t>
      </w:r>
      <w:r>
        <w:rPr>
          <w:rFonts w:ascii="宋体"/>
          <w:sz w:val="24"/>
          <w:szCs w:val="20"/>
        </w:rPr>
        <w:t>0.</w:t>
      </w:r>
      <w:bookmarkStart w:id="37" w:name="_Toc413140329"/>
      <w:bookmarkStart w:id="38" w:name="_Toc134623365"/>
      <w:bookmarkStart w:id="39" w:name="_Toc28058"/>
      <w:bookmarkStart w:id="40" w:name="_Toc16261"/>
      <w:bookmarkStart w:id="41" w:name="_Toc134623738"/>
      <w:bookmarkStart w:id="42" w:name="_Toc19449"/>
      <w:bookmarkStart w:id="43" w:name="_Toc16131"/>
      <w:r>
        <w:rPr>
          <w:sz w:val="24"/>
          <w:szCs w:val="21"/>
        </w:rPr>
        <w:t>试验项目的</w:t>
      </w:r>
      <w:bookmarkEnd w:id="37"/>
      <w:r>
        <w:rPr>
          <w:sz w:val="24"/>
          <w:szCs w:val="21"/>
        </w:rPr>
        <w:t>试验方法和条件以及数据处理和合格判据</w:t>
      </w:r>
      <w:bookmarkEnd w:id="38"/>
      <w:bookmarkEnd w:id="39"/>
      <w:bookmarkEnd w:id="40"/>
      <w:bookmarkEnd w:id="41"/>
      <w:bookmarkEnd w:id="42"/>
      <w:bookmarkEnd w:id="43"/>
      <w:r>
        <w:rPr>
          <w:rFonts w:hint="eastAsia"/>
          <w:sz w:val="24"/>
          <w:szCs w:val="21"/>
        </w:rPr>
        <w:t>中，</w:t>
      </w:r>
      <w:r>
        <w:rPr>
          <w:sz w:val="24"/>
          <w:szCs w:val="21"/>
        </w:rPr>
        <w:t>在确定设备线路及电源波形无误后，对试品施加电压。加压时，应由零位开始缓慢升高电压，观测仪表升压数值。在升至75%试验电压时，以每秒2%试验电压的速率升压至短时工频耐压的试验值，维持60 s或规定的时间，然后降到30%规定试验电压以下后再切断电源</w:t>
      </w:r>
      <w:r>
        <w:rPr>
          <w:rFonts w:hint="eastAsia"/>
          <w:sz w:val="24"/>
          <w:szCs w:val="21"/>
        </w:rPr>
        <w:t>。这里规定升压的速度，“</w:t>
      </w:r>
      <w:r>
        <w:rPr>
          <w:sz w:val="24"/>
          <w:szCs w:val="21"/>
        </w:rPr>
        <w:t>以每秒2%试验电压的速率升压至短时工频耐压的试验值</w:t>
      </w:r>
      <w:r>
        <w:rPr>
          <w:rFonts w:hint="eastAsia"/>
          <w:sz w:val="24"/>
          <w:szCs w:val="21"/>
        </w:rPr>
        <w:t>”，是为了避免升压过慢导致长时间处于高压下，超过规定维持时间较长时间，同时也是避免过快升压，导致脉冲电压或者过压。“</w:t>
      </w:r>
      <w:r>
        <w:rPr>
          <w:sz w:val="24"/>
          <w:szCs w:val="21"/>
        </w:rPr>
        <w:t>降到30%规定试验电压以下后再切断电源</w:t>
      </w:r>
      <w:r>
        <w:rPr>
          <w:rFonts w:hint="eastAsia"/>
          <w:sz w:val="24"/>
          <w:szCs w:val="21"/>
        </w:rPr>
        <w:t>”是为了避免电压快速跌落，产生脉冲电压对试验设备和试品造成冲击，影响后续试验。</w:t>
      </w:r>
    </w:p>
    <w:p>
      <w:pPr>
        <w:pStyle w:val="11"/>
        <w:numPr>
          <w:ilvl w:val="0"/>
          <w:numId w:val="3"/>
        </w:numPr>
        <w:spacing w:before="156" w:beforeLines="50" w:after="0" w:line="500" w:lineRule="exact"/>
        <w:ind w:firstLine="560" w:firstLineChars="200"/>
        <w:jc w:val="left"/>
      </w:pPr>
      <w:r>
        <w:rPr>
          <w:rFonts w:hint="eastAsia"/>
          <w:sz w:val="28"/>
          <w:szCs w:val="28"/>
        </w:rPr>
        <w:t>其他应当说明的事项。</w:t>
      </w:r>
    </w:p>
    <w:bookmarkEnd w:id="36"/>
    <w:p>
      <w:pPr>
        <w:pStyle w:val="11"/>
        <w:spacing w:before="156" w:beforeLines="50" w:after="0" w:line="500" w:lineRule="exact"/>
        <w:ind w:firstLine="480" w:firstLineChars="200"/>
        <w:jc w:val="left"/>
        <w:rPr>
          <w:rFonts w:ascii="宋体" w:hAnsi="宋体" w:eastAsia="宋体" w:cs="Times New Roman"/>
          <w:b w:val="0"/>
          <w:bCs w:val="0"/>
          <w:kern w:val="2"/>
          <w:sz w:val="24"/>
          <w:szCs w:val="24"/>
        </w:rPr>
      </w:pPr>
      <w:r>
        <w:rPr>
          <w:rFonts w:hint="eastAsia" w:ascii="宋体" w:hAnsi="宋体" w:eastAsia="宋体" w:cs="Times New Roman"/>
          <w:b w:val="0"/>
          <w:bCs w:val="0"/>
          <w:kern w:val="2"/>
          <w:sz w:val="24"/>
          <w:szCs w:val="24"/>
        </w:rPr>
        <w:t>无。</w:t>
      </w:r>
      <w:bookmarkEnd w:id="10"/>
    </w:p>
    <w:sectPr>
      <w:headerReference r:id="rId3" w:type="default"/>
      <w:footerReference r:id="rId4" w:type="default"/>
      <w:pgSz w:w="11906" w:h="16838"/>
      <w:pgMar w:top="1440" w:right="1800" w:bottom="1440" w:left="1800" w:header="851" w:footer="567" w:gutter="0"/>
      <w:pgNumType w:fmt="numberInDash"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0334049"/>
      <w:docPartObj>
        <w:docPartGallery w:val="autotext"/>
      </w:docPartObj>
    </w:sdtPr>
    <w:sdtEndPr>
      <w:rPr>
        <w:rFonts w:ascii="宋体" w:hAnsi="宋体"/>
        <w:sz w:val="24"/>
        <w:szCs w:val="24"/>
      </w:rPr>
    </w:sdtEndPr>
    <w:sdtContent>
      <w:p>
        <w:pPr>
          <w:pStyle w:val="8"/>
          <w:jc w:val="center"/>
          <w:rPr>
            <w:rFonts w:ascii="宋体" w:hAnsi="宋体"/>
            <w:sz w:val="24"/>
            <w:szCs w:val="24"/>
          </w:rPr>
        </w:pPr>
        <w:r>
          <w:rPr>
            <w:rFonts w:ascii="宋体" w:hAnsi="宋体"/>
            <w:sz w:val="24"/>
            <w:szCs w:val="24"/>
          </w:rPr>
          <w:fldChar w:fldCharType="begin"/>
        </w:r>
        <w:r>
          <w:rPr>
            <w:rFonts w:ascii="宋体" w:hAnsi="宋体"/>
            <w:sz w:val="24"/>
            <w:szCs w:val="24"/>
          </w:rPr>
          <w:instrText xml:space="preserve">PAGE   \* MERGEFORMAT</w:instrText>
        </w:r>
        <w:r>
          <w:rPr>
            <w:rFonts w:ascii="宋体" w:hAnsi="宋体"/>
            <w:sz w:val="24"/>
            <w:szCs w:val="24"/>
          </w:rPr>
          <w:fldChar w:fldCharType="separate"/>
        </w:r>
        <w:r>
          <w:rPr>
            <w:rFonts w:ascii="宋体" w:hAnsi="宋体"/>
            <w:sz w:val="24"/>
            <w:szCs w:val="24"/>
            <w:lang w:val="zh-CN"/>
          </w:rPr>
          <w:t>2</w:t>
        </w:r>
        <w:r>
          <w:rPr>
            <w:rFonts w:ascii="宋体" w:hAnsi="宋体"/>
            <w:sz w:val="24"/>
            <w:szCs w:val="24"/>
          </w:rPr>
          <w:fldChar w:fldCharType="end"/>
        </w:r>
      </w:p>
    </w:sdtContent>
  </w:sdt>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FF32A3"/>
    <w:multiLevelType w:val="multilevel"/>
    <w:tmpl w:val="02FF32A3"/>
    <w:lvl w:ilvl="0" w:tentative="0">
      <w:start w:val="1"/>
      <w:numFmt w:val="japaneseCounting"/>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36A930FD"/>
    <w:multiLevelType w:val="multilevel"/>
    <w:tmpl w:val="36A930FD"/>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6217E730"/>
    <w:multiLevelType w:val="singleLevel"/>
    <w:tmpl w:val="6217E730"/>
    <w:lvl w:ilvl="0" w:tentative="0">
      <w:start w:val="10"/>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4D4E"/>
    <w:rsid w:val="000318D6"/>
    <w:rsid w:val="00045D2B"/>
    <w:rsid w:val="00071E23"/>
    <w:rsid w:val="00083283"/>
    <w:rsid w:val="00093419"/>
    <w:rsid w:val="00097FBD"/>
    <w:rsid w:val="000A093F"/>
    <w:rsid w:val="000A6AC2"/>
    <w:rsid w:val="000B0C66"/>
    <w:rsid w:val="000D5B9E"/>
    <w:rsid w:val="000F0246"/>
    <w:rsid w:val="000F2BA8"/>
    <w:rsid w:val="00102E04"/>
    <w:rsid w:val="001265F2"/>
    <w:rsid w:val="00134D0E"/>
    <w:rsid w:val="001625FA"/>
    <w:rsid w:val="0016627B"/>
    <w:rsid w:val="00175B5D"/>
    <w:rsid w:val="0018277A"/>
    <w:rsid w:val="00187961"/>
    <w:rsid w:val="001A3AA7"/>
    <w:rsid w:val="001B3421"/>
    <w:rsid w:val="001B5C6B"/>
    <w:rsid w:val="001B7CB7"/>
    <w:rsid w:val="001C247B"/>
    <w:rsid w:val="001D6A28"/>
    <w:rsid w:val="001F1F30"/>
    <w:rsid w:val="00203242"/>
    <w:rsid w:val="00206BFC"/>
    <w:rsid w:val="0020719E"/>
    <w:rsid w:val="00211179"/>
    <w:rsid w:val="002474E0"/>
    <w:rsid w:val="002624A9"/>
    <w:rsid w:val="002627C3"/>
    <w:rsid w:val="00265ED4"/>
    <w:rsid w:val="0026769C"/>
    <w:rsid w:val="00287C0D"/>
    <w:rsid w:val="002B13B9"/>
    <w:rsid w:val="002E56FD"/>
    <w:rsid w:val="0036057E"/>
    <w:rsid w:val="00374D58"/>
    <w:rsid w:val="003805DD"/>
    <w:rsid w:val="003927B2"/>
    <w:rsid w:val="00394273"/>
    <w:rsid w:val="003C525D"/>
    <w:rsid w:val="00402F0E"/>
    <w:rsid w:val="00414D4E"/>
    <w:rsid w:val="00415B74"/>
    <w:rsid w:val="0042249D"/>
    <w:rsid w:val="004270F6"/>
    <w:rsid w:val="00435B37"/>
    <w:rsid w:val="00446500"/>
    <w:rsid w:val="00452CD7"/>
    <w:rsid w:val="00464F57"/>
    <w:rsid w:val="0048458B"/>
    <w:rsid w:val="004A1589"/>
    <w:rsid w:val="004E317E"/>
    <w:rsid w:val="00552AD0"/>
    <w:rsid w:val="005542FC"/>
    <w:rsid w:val="0056636F"/>
    <w:rsid w:val="005856B5"/>
    <w:rsid w:val="005C7B2B"/>
    <w:rsid w:val="005F545E"/>
    <w:rsid w:val="00641946"/>
    <w:rsid w:val="006518E7"/>
    <w:rsid w:val="00654924"/>
    <w:rsid w:val="006860A3"/>
    <w:rsid w:val="00690ACA"/>
    <w:rsid w:val="00701F33"/>
    <w:rsid w:val="00717BEE"/>
    <w:rsid w:val="007343DC"/>
    <w:rsid w:val="00745FE3"/>
    <w:rsid w:val="00753D66"/>
    <w:rsid w:val="00760535"/>
    <w:rsid w:val="007706B8"/>
    <w:rsid w:val="007726F8"/>
    <w:rsid w:val="007925CF"/>
    <w:rsid w:val="007930A8"/>
    <w:rsid w:val="007E0AE2"/>
    <w:rsid w:val="007F2C8D"/>
    <w:rsid w:val="0080092B"/>
    <w:rsid w:val="00800B11"/>
    <w:rsid w:val="008106C6"/>
    <w:rsid w:val="008349D8"/>
    <w:rsid w:val="00847AB6"/>
    <w:rsid w:val="00851FBE"/>
    <w:rsid w:val="00860BB2"/>
    <w:rsid w:val="0086345F"/>
    <w:rsid w:val="00867CE2"/>
    <w:rsid w:val="00872C32"/>
    <w:rsid w:val="0087608F"/>
    <w:rsid w:val="00882041"/>
    <w:rsid w:val="00883FAD"/>
    <w:rsid w:val="0089796A"/>
    <w:rsid w:val="008A27AF"/>
    <w:rsid w:val="008D251D"/>
    <w:rsid w:val="008D7550"/>
    <w:rsid w:val="00901305"/>
    <w:rsid w:val="00914C83"/>
    <w:rsid w:val="00924C15"/>
    <w:rsid w:val="00977413"/>
    <w:rsid w:val="009B79D0"/>
    <w:rsid w:val="009D0859"/>
    <w:rsid w:val="00A05DD8"/>
    <w:rsid w:val="00A137C6"/>
    <w:rsid w:val="00A2322C"/>
    <w:rsid w:val="00A45D3E"/>
    <w:rsid w:val="00A74E58"/>
    <w:rsid w:val="00A87CFA"/>
    <w:rsid w:val="00AC33C5"/>
    <w:rsid w:val="00B00ADC"/>
    <w:rsid w:val="00B0489E"/>
    <w:rsid w:val="00B04A68"/>
    <w:rsid w:val="00B52ECC"/>
    <w:rsid w:val="00B83D92"/>
    <w:rsid w:val="00B863AA"/>
    <w:rsid w:val="00BA4E80"/>
    <w:rsid w:val="00BC7BB4"/>
    <w:rsid w:val="00BD11D2"/>
    <w:rsid w:val="00BE773D"/>
    <w:rsid w:val="00BF3885"/>
    <w:rsid w:val="00C07E3F"/>
    <w:rsid w:val="00C2624F"/>
    <w:rsid w:val="00C53B34"/>
    <w:rsid w:val="00C57D34"/>
    <w:rsid w:val="00C666CD"/>
    <w:rsid w:val="00C9515A"/>
    <w:rsid w:val="00CC2857"/>
    <w:rsid w:val="00CC2BBC"/>
    <w:rsid w:val="00CF3E41"/>
    <w:rsid w:val="00D34E12"/>
    <w:rsid w:val="00D57B51"/>
    <w:rsid w:val="00DC696D"/>
    <w:rsid w:val="00E1532F"/>
    <w:rsid w:val="00E159EB"/>
    <w:rsid w:val="00E35F8B"/>
    <w:rsid w:val="00E35FA0"/>
    <w:rsid w:val="00E61434"/>
    <w:rsid w:val="00E85B69"/>
    <w:rsid w:val="00E9380B"/>
    <w:rsid w:val="00EA0C92"/>
    <w:rsid w:val="00EA534D"/>
    <w:rsid w:val="00EB708D"/>
    <w:rsid w:val="00ED11A9"/>
    <w:rsid w:val="00ED1431"/>
    <w:rsid w:val="00EE0979"/>
    <w:rsid w:val="00EE6E3A"/>
    <w:rsid w:val="00EF0D12"/>
    <w:rsid w:val="00F02B36"/>
    <w:rsid w:val="00F3189E"/>
    <w:rsid w:val="00F502F7"/>
    <w:rsid w:val="00F51197"/>
    <w:rsid w:val="00F819F4"/>
    <w:rsid w:val="00F97AA1"/>
    <w:rsid w:val="13097F95"/>
    <w:rsid w:val="27735F72"/>
    <w:rsid w:val="2943697A"/>
    <w:rsid w:val="41943E9A"/>
    <w:rsid w:val="4A6E23F2"/>
    <w:rsid w:val="4EF87280"/>
    <w:rsid w:val="5B9825E8"/>
    <w:rsid w:val="69690B6C"/>
    <w:rsid w:val="7A3431E6"/>
    <w:rsid w:val="7F172C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1"/>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9"/>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0"/>
    <w:semiHidden/>
    <w:unhideWhenUsed/>
    <w:qFormat/>
    <w:uiPriority w:val="9"/>
    <w:pPr>
      <w:keepNext/>
      <w:keepLines/>
      <w:spacing w:before="260" w:after="260" w:line="416" w:lineRule="auto"/>
      <w:outlineLvl w:val="2"/>
    </w:pPr>
    <w:rPr>
      <w:b/>
      <w:bCs/>
      <w:sz w:val="32"/>
      <w:szCs w:val="32"/>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1"/>
    <w:unhideWhenUsed/>
    <w:qFormat/>
    <w:uiPriority w:val="99"/>
    <w:pPr>
      <w:jc w:val="left"/>
    </w:pPr>
  </w:style>
  <w:style w:type="paragraph" w:styleId="6">
    <w:name w:val="toc 3"/>
    <w:basedOn w:val="1"/>
    <w:next w:val="1"/>
    <w:unhideWhenUsed/>
    <w:qFormat/>
    <w:uiPriority w:val="39"/>
    <w:pPr>
      <w:widowControl/>
      <w:spacing w:after="100" w:line="259" w:lineRule="auto"/>
      <w:ind w:left="440"/>
      <w:jc w:val="left"/>
    </w:pPr>
    <w:rPr>
      <w:rFonts w:asciiTheme="minorHAnsi" w:hAnsiTheme="minorHAnsi" w:eastAsiaTheme="minorEastAsia"/>
      <w:kern w:val="0"/>
      <w:sz w:val="22"/>
      <w:szCs w:val="22"/>
    </w:rPr>
  </w:style>
  <w:style w:type="paragraph" w:styleId="7">
    <w:name w:val="Body Text Indent 2"/>
    <w:basedOn w:val="1"/>
    <w:link w:val="26"/>
    <w:qFormat/>
    <w:uiPriority w:val="0"/>
    <w:pPr>
      <w:spacing w:after="120" w:line="480" w:lineRule="auto"/>
      <w:ind w:left="420" w:leftChars="200" w:hanging="357"/>
    </w:pPr>
    <w:rPr>
      <w:rFonts w:asciiTheme="minorHAnsi" w:hAnsiTheme="minorHAnsi" w:eastAsiaTheme="minorEastAsia" w:cstheme="minorBidi"/>
      <w:szCs w:val="22"/>
    </w:rPr>
  </w:style>
  <w:style w:type="paragraph" w:styleId="8">
    <w:name w:val="footer"/>
    <w:basedOn w:val="1"/>
    <w:link w:val="20"/>
    <w:unhideWhenUsed/>
    <w:qFormat/>
    <w:uiPriority w:val="99"/>
    <w:pPr>
      <w:tabs>
        <w:tab w:val="center" w:pos="4153"/>
        <w:tab w:val="right" w:pos="8306"/>
      </w:tabs>
      <w:snapToGrid w:val="0"/>
      <w:jc w:val="left"/>
    </w:pPr>
    <w:rPr>
      <w:sz w:val="18"/>
      <w:szCs w:val="18"/>
    </w:rPr>
  </w:style>
  <w:style w:type="paragraph" w:styleId="9">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unhideWhenUsed/>
    <w:qFormat/>
    <w:uiPriority w:val="39"/>
  </w:style>
  <w:style w:type="paragraph" w:styleId="11">
    <w:name w:val="Subtitle"/>
    <w:basedOn w:val="1"/>
    <w:next w:val="1"/>
    <w:link w:val="28"/>
    <w:qFormat/>
    <w:uiPriority w:val="11"/>
    <w:pPr>
      <w:spacing w:before="240" w:after="60" w:line="312" w:lineRule="auto"/>
      <w:jc w:val="center"/>
      <w:outlineLvl w:val="1"/>
    </w:pPr>
    <w:rPr>
      <w:rFonts w:asciiTheme="minorHAnsi" w:hAnsiTheme="minorHAnsi" w:eastAsiaTheme="minorEastAsia" w:cstheme="minorBidi"/>
      <w:b/>
      <w:bCs/>
      <w:kern w:val="28"/>
      <w:sz w:val="32"/>
      <w:szCs w:val="32"/>
    </w:rPr>
  </w:style>
  <w:style w:type="paragraph" w:styleId="12">
    <w:name w:val="toc 2"/>
    <w:basedOn w:val="1"/>
    <w:next w:val="1"/>
    <w:unhideWhenUsed/>
    <w:qFormat/>
    <w:uiPriority w:val="39"/>
    <w:pPr>
      <w:ind w:left="420" w:leftChars="200"/>
    </w:pPr>
  </w:style>
  <w:style w:type="paragraph" w:styleId="13">
    <w:name w:val="Title"/>
    <w:basedOn w:val="1"/>
    <w:next w:val="1"/>
    <w:link w:val="24"/>
    <w:qFormat/>
    <w:uiPriority w:val="0"/>
    <w:pPr>
      <w:spacing w:before="240" w:after="60"/>
      <w:jc w:val="center"/>
      <w:outlineLvl w:val="0"/>
    </w:pPr>
    <w:rPr>
      <w:rFonts w:ascii="Cambria" w:hAnsi="Cambria"/>
      <w:b/>
      <w:bCs/>
      <w:kern w:val="0"/>
      <w:sz w:val="32"/>
      <w:szCs w:val="32"/>
    </w:rPr>
  </w:style>
  <w:style w:type="paragraph" w:styleId="14">
    <w:name w:val="annotation subject"/>
    <w:basedOn w:val="5"/>
    <w:next w:val="5"/>
    <w:link w:val="22"/>
    <w:semiHidden/>
    <w:unhideWhenUsed/>
    <w:qFormat/>
    <w:uiPriority w:val="99"/>
    <w:rPr>
      <w:b/>
      <w:bCs/>
    </w:rPr>
  </w:style>
  <w:style w:type="character" w:styleId="17">
    <w:name w:val="Hyperlink"/>
    <w:basedOn w:val="16"/>
    <w:unhideWhenUsed/>
    <w:qFormat/>
    <w:uiPriority w:val="99"/>
    <w:rPr>
      <w:color w:val="0563C1" w:themeColor="hyperlink"/>
      <w:u w:val="single"/>
      <w14:textFill>
        <w14:solidFill>
          <w14:schemeClr w14:val="hlink"/>
        </w14:solidFill>
      </w14:textFill>
    </w:rPr>
  </w:style>
  <w:style w:type="character" w:styleId="18">
    <w:name w:val="annotation reference"/>
    <w:basedOn w:val="16"/>
    <w:unhideWhenUsed/>
    <w:qFormat/>
    <w:uiPriority w:val="0"/>
    <w:rPr>
      <w:sz w:val="21"/>
      <w:szCs w:val="21"/>
    </w:rPr>
  </w:style>
  <w:style w:type="character" w:customStyle="1" w:styleId="19">
    <w:name w:val="页眉 字符"/>
    <w:basedOn w:val="16"/>
    <w:link w:val="9"/>
    <w:qFormat/>
    <w:uiPriority w:val="99"/>
    <w:rPr>
      <w:sz w:val="18"/>
      <w:szCs w:val="18"/>
    </w:rPr>
  </w:style>
  <w:style w:type="character" w:customStyle="1" w:styleId="20">
    <w:name w:val="页脚 字符"/>
    <w:basedOn w:val="16"/>
    <w:link w:val="8"/>
    <w:qFormat/>
    <w:uiPriority w:val="99"/>
    <w:rPr>
      <w:sz w:val="18"/>
      <w:szCs w:val="18"/>
    </w:rPr>
  </w:style>
  <w:style w:type="character" w:customStyle="1" w:styleId="21">
    <w:name w:val="批注文字 字符"/>
    <w:basedOn w:val="16"/>
    <w:link w:val="5"/>
    <w:qFormat/>
    <w:uiPriority w:val="99"/>
    <w:rPr>
      <w:rFonts w:ascii="Times New Roman" w:hAnsi="Times New Roman" w:eastAsia="宋体" w:cs="Times New Roman"/>
      <w:szCs w:val="24"/>
    </w:rPr>
  </w:style>
  <w:style w:type="character" w:customStyle="1" w:styleId="22">
    <w:name w:val="批注主题 字符"/>
    <w:basedOn w:val="21"/>
    <w:link w:val="14"/>
    <w:semiHidden/>
    <w:qFormat/>
    <w:uiPriority w:val="99"/>
    <w:rPr>
      <w:rFonts w:ascii="Times New Roman" w:hAnsi="Times New Roman" w:eastAsia="宋体" w:cs="Times New Roman"/>
      <w:b/>
      <w:bCs/>
      <w:szCs w:val="24"/>
    </w:rPr>
  </w:style>
  <w:style w:type="character" w:customStyle="1" w:styleId="23">
    <w:name w:val="标题 字符"/>
    <w:basedOn w:val="16"/>
    <w:qFormat/>
    <w:uiPriority w:val="10"/>
    <w:rPr>
      <w:rFonts w:asciiTheme="majorHAnsi" w:hAnsiTheme="majorHAnsi" w:eastAsiaTheme="majorEastAsia" w:cstheme="majorBidi"/>
      <w:b/>
      <w:bCs/>
      <w:sz w:val="32"/>
      <w:szCs w:val="32"/>
    </w:rPr>
  </w:style>
  <w:style w:type="character" w:customStyle="1" w:styleId="24">
    <w:name w:val="标题 字符1"/>
    <w:link w:val="13"/>
    <w:qFormat/>
    <w:uiPriority w:val="0"/>
    <w:rPr>
      <w:rFonts w:ascii="Cambria" w:hAnsi="Cambria" w:eastAsia="宋体" w:cs="Times New Roman"/>
      <w:b/>
      <w:bCs/>
      <w:kern w:val="0"/>
      <w:sz w:val="32"/>
      <w:szCs w:val="32"/>
    </w:rPr>
  </w:style>
  <w:style w:type="paragraph" w:styleId="25">
    <w:name w:val="List Paragraph"/>
    <w:basedOn w:val="1"/>
    <w:qFormat/>
    <w:uiPriority w:val="34"/>
    <w:pPr>
      <w:ind w:firstLine="420" w:firstLineChars="200"/>
    </w:pPr>
  </w:style>
  <w:style w:type="character" w:customStyle="1" w:styleId="26">
    <w:name w:val="正文文本缩进 2 字符"/>
    <w:link w:val="7"/>
    <w:qFormat/>
    <w:uiPriority w:val="0"/>
  </w:style>
  <w:style w:type="character" w:customStyle="1" w:styleId="27">
    <w:name w:val="正文文本缩进 2 字符1"/>
    <w:basedOn w:val="16"/>
    <w:semiHidden/>
    <w:qFormat/>
    <w:uiPriority w:val="99"/>
    <w:rPr>
      <w:rFonts w:ascii="Times New Roman" w:hAnsi="Times New Roman" w:eastAsia="宋体" w:cs="Times New Roman"/>
      <w:szCs w:val="24"/>
    </w:rPr>
  </w:style>
  <w:style w:type="character" w:customStyle="1" w:styleId="28">
    <w:name w:val="副标题 字符"/>
    <w:basedOn w:val="16"/>
    <w:link w:val="11"/>
    <w:qFormat/>
    <w:uiPriority w:val="11"/>
    <w:rPr>
      <w:b/>
      <w:bCs/>
      <w:kern w:val="28"/>
      <w:sz w:val="32"/>
      <w:szCs w:val="32"/>
    </w:rPr>
  </w:style>
  <w:style w:type="character" w:customStyle="1" w:styleId="29">
    <w:name w:val="标题 2 字符"/>
    <w:basedOn w:val="16"/>
    <w:link w:val="3"/>
    <w:semiHidden/>
    <w:qFormat/>
    <w:uiPriority w:val="9"/>
    <w:rPr>
      <w:rFonts w:asciiTheme="majorHAnsi" w:hAnsiTheme="majorHAnsi" w:eastAsiaTheme="majorEastAsia" w:cstheme="majorBidi"/>
      <w:b/>
      <w:bCs/>
      <w:sz w:val="32"/>
      <w:szCs w:val="32"/>
    </w:rPr>
  </w:style>
  <w:style w:type="character" w:customStyle="1" w:styleId="30">
    <w:name w:val="标题 3 字符"/>
    <w:basedOn w:val="16"/>
    <w:link w:val="4"/>
    <w:semiHidden/>
    <w:qFormat/>
    <w:uiPriority w:val="9"/>
    <w:rPr>
      <w:rFonts w:ascii="Times New Roman" w:hAnsi="Times New Roman" w:eastAsia="宋体" w:cs="Times New Roman"/>
      <w:b/>
      <w:bCs/>
      <w:sz w:val="32"/>
      <w:szCs w:val="32"/>
    </w:rPr>
  </w:style>
  <w:style w:type="character" w:customStyle="1" w:styleId="31">
    <w:name w:val="标题 1 字符"/>
    <w:basedOn w:val="16"/>
    <w:link w:val="2"/>
    <w:qFormat/>
    <w:uiPriority w:val="9"/>
    <w:rPr>
      <w:rFonts w:ascii="Times New Roman" w:hAnsi="Times New Roman" w:eastAsia="宋体" w:cs="Times New Roman"/>
      <w:b/>
      <w:bCs/>
      <w:kern w:val="44"/>
      <w:sz w:val="44"/>
      <w:szCs w:val="44"/>
    </w:rPr>
  </w:style>
  <w:style w:type="paragraph" w:customStyle="1" w:styleId="32">
    <w:name w:val="TOC Heading"/>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DEC37-AE90-43AB-8EF5-2AA19808D5C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1275</Words>
  <Characters>7270</Characters>
  <Lines>60</Lines>
  <Paragraphs>17</Paragraphs>
  <TotalTime>5</TotalTime>
  <ScaleCrop>false</ScaleCrop>
  <LinksUpToDate>false</LinksUpToDate>
  <CharactersWithSpaces>8528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2022-10-13T02:24:00Z</dcterms:created>
  <dc:creator>张 礼莉</dc:creator>
  <cp:lastModifiedBy>niegaoning</cp:lastModifiedBy>
  <dcterms:modified xsi:type="dcterms:W3CDTF">2024-05-07T07:20:23Z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6AD272B789444CE98CF36FBF7E409FC9</vt:lpwstr>
  </property>
</Properties>
</file>